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quality.criteria.configure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Resolved Governed Resource Canonical Owner / Governance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t>Resolved Governed Resource Canonical Owner / Approval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t>ACPOS-AI-03 Sandbox Evidence / Audit Lineage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t>ACPOS-AI-03 Operational Control State / Audit Lineage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Execution / Compiler / Tool / AIAPI Quality Runtime Contract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Quality Execution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Operation class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Required input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Required output / state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Fail-closed condition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Resolve Criteria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artifact_type + department + exact scope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approved profile_uid + criteria_version_id + policy_version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 applicable approved profile/version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Evaluate Output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exact_output_ref + checksum + profile/version + required_checks + evidence context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scorecard_id + dimension scores + weighted total + hard-block status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Output/version/checksum mismatch or missing criteria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Create Finding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scorecard_id + dimension_uid/category + severity + affected scope + evidence refs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finding_id OPEN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Category/Severity/Evidence owner missing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Create Correction Request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finding_ids + source_scorecard_ids + exact output/version + target owner + required_action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correction_request_id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 canonical target owner / no exact output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Recheck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NEW exact output/version + prior finding/correction refs + same or explicitly superseding criteria 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fresh scorecard + finding closure eligibility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Reusing old output/version after correction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Configure Criteria Draft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profile baseline + department/applicability + dimensions/checks/gate policy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DRAFT CriteriaVersion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Attempt to mutate APPROVED/ACTIVE in place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Submit Criteria Review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DRAFT resource/version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REVIEW state + audit event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DRAFT / missing permission / invalid content hash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Approve Criteria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REVIEW resource/version + approver 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APPROVED CriteriaVersion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Self/unauthorized approval, non-REVIEW state, invalid/missing evidence</w:t>
            </w:r>
          </w:p>
        </w:tc>
      </w:tr>
    </w:tbl>
    <w:p>
      <w:pPr>
        <w:pStyle w:val="Heading2"/>
      </w:pPr>
      <w:r>
        <w:t>SG-02 Lifecycle Runtime Authority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Control / Action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Operation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Route / interface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Word authority status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governed-resource configuration contract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quality.criteria.configure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authority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Submit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submitGovernedResourceReview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POST /v1/governance/resources/{id}/submit-review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quality.criteria.configure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NEW Authority after complete Word-source scan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governed-resource approval contract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governance.approve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Existing authority</w:t>
            </w:r>
          </w:p>
        </w:tc>
      </w:tr>
    </w:tbl>
    <w:p>
      <w:r>
        <w:t>03 MUST treat the Submit Review operation as a required construction contract, but MUST NOT claim Runtime/Production implementation evidence merely because this Word contract exists.</w:t>
      </w:r>
    </w:p>
    <w:p>
      <w:pPr>
        <w:pStyle w:val="Heading2"/>
      </w:pPr>
      <w:r>
        <w:t>Typed Payload Minimums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Minimum fields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EvaluateOutputRequest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exact_output_ref, output_version_ref, checksum, department, artifact_type, profile_uid, criteria_version_id, policy_version, required_check_refs, evidence_context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CreateFindingRequest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scorecard_id, dimension_uid, category_uid, severity, affected_scope, evidence_refs, exact_output_ref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CorrectionRequest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finding_ids, source_scorecard_ids, exact_output_ref, root_cause_classification, required_action, target_department, revalidation_requirements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RecheckRequest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prior_scorecard_id, finding_ids, correction_request_id, NEW exact_output_ref/version, criteria_version_id, policy_version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SubmitGovernedResourceReviewRequest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resource_id, current_draft_version, content_hash, correlation_id, idempotency_key, submission_reason/evidence refs</w:t>
            </w:r>
          </w:p>
        </w:tc>
      </w:tr>
    </w:tbl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12 · Exact-Relation Canonical Field Closure</w:t>
      </w:r>
    </w:p>
    <w:p>
      <w:r>
        <w:rPr>
          <w:b/>
        </w:rPr>
        <w:t xml:space="preserve">[ACPOS-20260921-BATCH-12-EXACT-RELATION-REMEDIATION-V1::03_ACPOS_AI_Execution_Script_Compiler_Tool_AIAPI_Runtime_Mother_Basic_Logic_Design_Normative_Contract_v1.0.docx] </w:t>
      </w:r>
      <w:r>
        <w:t>The rows below close only fields supported by a unique exact Operation relation already present in this same Canonical Owner document. No fuzzy label matching, cross-system transfer, first-match inference, or new API/owner identity is used.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Authority Relation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Status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quality.criteria.configure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EXACT_OPERATION_TO_PERMISSION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EXACT_OPERATION_TO_PERMISSION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</w:tbl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13 · AIAPI Direct-Operation Action Applicability Rule</w:t>
      </w:r>
    </w:p>
    <w:p>
      <w:r>
        <w:rPr>
          <w:b/>
        </w:rPr>
        <w:t xml:space="preserve">[ACPOS-20260921-BATCH-13-EXPLICIT-NA-ACTION-SEMANTICS-V1::03_ACPOS_AI_Execution_Script_Compiler_Tool_AIAPI_Runtime_Mother_Basic_Logic_Design_Normative_Contract_v1.0.docx] </w:t>
      </w:r>
      <w:r>
        <w:t>For AIAPI BUTTON_OR_ROW_ACTION controls governed by the exact 'AIAPI Page Operation-specific Form / Provider Profile Field Contract', with exact Permission, Operation, Method/Path and Runtime Owner already bound, the Operation contract is the execution identity. If no existing Action UID is explicitly bound, Action UID is non-applicable and MUST remain '—'; a parallel Action UID MUST NOT be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95"/>
        <w:gridCol w:w="2995"/>
        <w:gridCol w:w="2995"/>
        <w:gridCol w:w="2995"/>
        <w:gridCol w:w="2995"/>
      </w:tblGrid>
      <w:tr>
        <w:trPr>
          <w:tblHeader w:val="true"/>
        </w:trPr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Applicability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Rule</w:t>
            </w:r>
          </w:p>
        </w:tc>
        <w:tc>
          <w:tcPr>
            <w:tcW w:type="dxa" w:w="2995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AIAPI-01-BTN-APPROVE-GOVERNED-RESOURCE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AIAPI-01-BTN-CONFIGURE-GOVERNED-RESOURCE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AIAPI-01-BTN-RUN-PROVIDER-QUEUE-PROBE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CTRL-ADMIN-AIAPI-05-PROVIDER-CANDIDATE-GROUPS-CREATE-GROUP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CTRL-ADMIN-AIAPI-05-PROVIDER-CANDIDATE-GROUPS-RESTORE-PROVIDER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CTRL-ADMIN-AIAPI-05-PROVIDER-CANDIDATE-GROUPS-VIEW-QUARANTINE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CTRL-ADMIN-AIAPI-06-PROVIDER-MODEL-PROFILES-CREATE-PROFILE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CTRL-ADMIN-AIAPI-06-PROVIDER-MODEL-PROFILES-DELETE-CREDENTIAL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CTRL-ADMIN-AIAPI-06-PROVIDER-MODEL-PROFILES-RETIRE-PROFILE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CTRL-ADMIN-AIAPI-06-PROVIDER-MODEL-PROFILES-SET-CREDENTIAL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CTRL-ADMIN-AIAPI-06-PROVIDER-MODEL-PROFILES-TEST-PROFILE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CTRL-ADMIN-AIAPI-06-PROVIDER-MODEL-PROFILES-UPDATE-PROFILE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CTRL-ADMIN-AIAPI-06-PROVIDER-MODEL-PROFILES-VIEW-PROFILE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CTRL-ADMIN-AIAPI-08-ROUTE-SIMULATION-EXECUTE-ROUTE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CTRL-ADMIN-AIAPI-08-ROUTE-SIMULATION-VIEW-ROUTE-DECISION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  <w:tr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CTRL-ADMIN-AIAPI-09-ACT-02-ACT-KILL-SWITCH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Action UID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N/A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LEGITIMATE_NA_DIRECT_OPERATION_ACTION</w:t>
            </w:r>
          </w:p>
        </w:tc>
        <w:tc>
          <w:tcPr>
            <w:tcW w:type="dxa" w:w="2995"/>
          </w:tcPr>
          <w:p>
            <w:pPr>
              <w:spacing w:before="0" w:after="0"/>
            </w:pPr>
            <w:r>
              <w:rPr>
                <w:sz w:val="9"/>
              </w:rPr>
              <w:t>CLOSED_AS_EXPLICIT_NA_BY_BATCH_13</w:t>
            </w:r>
          </w:p>
        </w:tc>
      </w:tr>
    </w:tbl>
    <w:p>
      <w:pPr>
        <w:sectPr>
          <w:pgSz w:w="15840" w:h="12240" w:orient="landscape"/>
          <w:pgMar w:top="490" w:right="432" w:bottom="490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38 · System 03 Persistence Ownership Contract</w:t>
      </w:r>
    </w:p>
    <w:p>
      <w:r>
        <w:rPr>
          <w:b/>
        </w:rPr>
        <w:t xml:space="preserve">[ACPOS-20260922-BATCH-38-SYSTEM03-PERSISTENCE-REMEDIATION-V1::SYSTEM03] </w:t>
      </w:r>
      <w:r>
        <w:t>These four Persistence Owner bindings preserve existing Method/Path, Payload/Schema, Runtime Owner and Runtime Status. Governed-resource persistence remains with the exact resolved resource owner; sandbox and kill-switch evidence remain AI-03 operational/audit concerns. No Production execution claim is made.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858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AIAPI-01-BTN-CONFIGURE-GOVERNED-RESOURCE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configureGovernedResource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Governance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The command configures an exact governed resource. AIAPI/IAM runtime must not steal domain persistence ownership; the exact resource owner persists state while governance audit preserves actor/correlation/version evidence.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AIAPI-01-BTN-APPROVE-GOVERNED-RESOURCE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approveGovernedResource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Resolved Governed Resource Canonical Owner / Approval Audit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Approval writes the governed resource's approved/version state under its canonical owner and preserves separate approver/rationale/audit evidence.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AIAPI-01-BTN-RUN-SANDBOX-TEST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runSandboxTest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ACPOS-AI-03 Sandbox Evidence / Audit Lineage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Sandbox may persist isolated test evidence and lineage only; Production secret/output writes and Production-pass claims remain forbidden.</w:t>
            </w:r>
          </w:p>
        </w:tc>
      </w:tr>
      <w:tr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CTRL-ADMIN-AIAPI-09-ACT-02-ACT-KILL-SWITCH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setKillSwitch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ACPOS-AI-03 Operational Control State / Audit Lineage</w:t>
            </w:r>
          </w:p>
        </w:tc>
        <w:tc>
          <w:tcPr>
            <w:tcW w:type="dxa" w:w="2858"/>
          </w:tcPr>
          <w:p>
            <w:pPr>
              <w:spacing w:before="0" w:after="0"/>
            </w:pPr>
            <w:r>
              <w:rPr>
                <w:sz w:val="7"/>
              </w:rPr>
              <w:t>Kill switch is a server-side operational gate that dominates execution; state transition and authorized reason/correlation/audit evidence must remain reconstructable.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