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AI-01 Context Owner / Governed Strategy Context Adoption Link + System 08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t>SubmitStrategyReviewRequest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t>POST /v1/state-commands/strategycandidate/submitstrategyreview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t>System 08 / StrategyCandidate + Review State/Audit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t>No-form read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08 Synchronization · Strategy Admin Runtime Boundary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These six operations already have exact source-preserving control/operation contracts. This closure makes the missing runtime/persistence boundary explicit instead of inventing owners. Existing permission resources are authoritative design inputs, but enablement remains forbidden until the runtime enforcement path is materially implemented and tested.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8"/>
        <w:gridCol w:w="1248"/>
        <w:gridCol w:w="1248"/>
        <w:gridCol w:w="1248"/>
        <w:gridCol w:w="1248"/>
        <w:gridCol w:w="1248"/>
        <w:gridCol w:w="1248"/>
        <w:gridCol w:w="1248"/>
        <w:gridCol w:w="1248"/>
      </w:tblGrid>
      <w:tr>
        <w:trPr>
          <w:tblHeader w:val="true"/>
        </w:trPr>
        <w:tc>
          <w:tcPr>
            <w:tcW w:type="dxa" w:w="124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Operation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Method / Path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Payload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Runtime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Persistence Owner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Required closure before enablement</w:t>
            </w:r>
          </w:p>
        </w:tc>
        <w:tc>
          <w:tcPr>
            <w:tcW w:type="dxa" w:w="1248"/>
            <w:shd w:fill="EDE9FE"/>
          </w:tcPr>
          <w:p>
            <w:r>
              <w:rPr>
                <w:sz w:val="9"/>
              </w:rPr>
              <w:t>Current status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CTRL-ADMIN-STR-03-ACT-01-ACT-DRAFT-SAVE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/v1/drafts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SaveDraftRequest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admin:STR-03::ACT-DRAFT-SAVE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IAM_RUNTIME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Persistence owner must be canonically bound + runtime authorization/persistence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CTRL-ADMIN-STR-04-ACT-03-ACT-EXPORT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/v1/exports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ExportProjectionRequest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admin:STR-04::ACT-EXPORT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INFO_COMMAND_RUNTIME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BLOCKED_NO_CANONICAL_EXPORT_PERSISTENCE_OWNER must be resolved + 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CTRL-ADMIN-STR-05-ACT-01-ACT-CANDIDATE-CREATE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CreateCandidateRequest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admin:STR-05::ACT-CANDIDATE-CREATE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must be resolved; permission must be enforced there.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CTRL-ADMIN-STR-06-ACT-01-ACT-CANDIDATE-COMPARE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compareCandidates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GET /v1/candidates/compare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No-form read contract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admin:STR-06::ACT-CANDIDATE-COMPARE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No mutation expected; read/runtime owner still 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read/runtime owner +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CTRL-ADMIN-STR-06-ACT-02-ACT-CANDIDATE-DECIDE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/v1/ai/strategy/candidates/{strategyCandidateId}/reject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RejectStrategyCandidateRequest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admin:STR-06::ACT-CANDIDATE-DECIDE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 owner and state-transition/audit handling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  <w:tr>
        <w:tc>
          <w:tcPr>
            <w:tcW w:type="dxa" w:w="1248"/>
          </w:tcPr>
          <w:p>
            <w:r>
              <w:rPr>
                <w:sz w:val="9"/>
              </w:rPr>
              <w:t>CTRL-ADMIN-STR-06-ACT-03-ACT-ADOPT-CONTEXT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POST /v1/state-commands/strategycandidate/adoptascontextcandidate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AdoptAsContextCandidateRequest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admin:STR-06::ACT-ADOPT-CONTEXT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SOURCE_NOT_DEFINED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Canonical runtime + persistence/context-state owner and authorization enforcement must be resolved/tested.</w:t>
            </w:r>
          </w:p>
        </w:tc>
        <w:tc>
          <w:tcPr>
            <w:tcW w:type="dxa" w:w="1248"/>
          </w:tcPr>
          <w:p>
            <w:r>
              <w:rPr>
                <w:sz w:val="9"/>
              </w:rPr>
              <w:t>SPEC_EXACT_RUNTIME_BLOCKED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behavior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Owner resolution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Search and bind existing canonical runtime/persistence owner first. Do not create a parallel Strategy runtime merely to clear the table.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Existing permission resource must be enforced at the materialized runtime boundary; a Word permission cell alone is not runtime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Persistence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Mutation operations must identify canonical persistence owner/transaction boundary before enablement.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Read-only compare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GET comparison must still have canonical runtime/read owner and authorization evidence; absence of mutation does not waive owner binding.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UI state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Keep blocked controls disabled/fail-closed. Do not treat exact route/payload as implementation completion.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Fresh evidence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Only current-revision implementation + authorization + persistence/read + audit validation may change SPEC_EXACT_RUNTIME_BLOCKED.</w:t>
            </w:r>
          </w:p>
        </w:tc>
      </w:tr>
    </w:tbl>
    <w:p>
      <w:r>
        <w:t>Front-office STR-01 operations that are already EFFECTFUL_EXACT remain distinct from the six ADMIN STR rows above. A front-office shared-service binding is not evidence that the admin route has a materialized runtime/persistence owner. Do not transfer completion credit across those boundaries.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[ACPOS-20260921-BATCH-10-CANONICAL-OWNER-PRECEDENCE-V1::REFERENCE_ONLY::08_ACPOS_Strategy_Intelligence_MultiAI_Decision_System_Mother_Basic_Logic_Design_Normative_Contract_v1.0.docx]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6"/>
        <w:gridCol w:w="2496"/>
        <w:gridCol w:w="2496"/>
        <w:gridCol w:w="2496"/>
        <w:gridCol w:w="2496"/>
        <w:gridCol w:w="2496"/>
      </w:tblGrid>
      <w:tr>
        <w:trPr>
          <w:tblHeader w:val="true"/>
        </w:trPr>
        <w:tc>
          <w:tcPr>
            <w:tcW w:type="dxa" w:w="24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24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STR-01-BTN-ATTACH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  <w:tr>
        <w:tc>
          <w:tcPr>
            <w:tcW w:type="dxa" w:w="2496"/>
          </w:tcPr>
          <w:p>
            <w:r>
              <w:rPr>
                <w:sz w:val="7"/>
              </w:rPr>
              <w:t>STR-01-VIEW-CONVERSATION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STR-01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2496"/>
          </w:tcPr>
          <w:p>
            <w:r>
              <w:rPr>
                <w:sz w:val="7"/>
              </w:rPr>
              <w:t>System 02 is the unique Shared Conversation Core; STR conversation view/attachment controls are conversation-core concerns consumed by Strategy.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5840" w:h="12240" w:orient="landscape"/>
          <w:pgMar w:top="504" w:right="432" w:bottom="504" w:left="432" w:header="720" w:footer="720" w:gutter="0"/>
          <w:cols w:space="720"/>
          <w:docGrid w:linePitch="360"/>
        </w:sectPr>
      </w:pPr>
    </w:p>
    <w:p>
      <w:pPr>
        <w:pStyle w:val="Heading1"/>
      </w:pPr>
      <w:r>
        <w:t>Batch 27 · Strategy Compare / Adopt Contract Reconciliation</w:t>
      </w:r>
    </w:p>
    <w:p>
      <w:r>
        <w:rPr>
          <w:b/>
        </w:rPr>
        <w:t xml:space="preserve">[ACPOS-20260922-BATCH-27-CANONICAL-CONTRACT-RECONCILIATION-V1::SYSTEM08] </w:t>
      </w:r>
      <w:r>
        <w:t>compareCandidates is reconciled as a read-only comparison contract because the existing owner contract is GET /v1/candidates/compare, uses a no-form read contract, and explicitly expects no mutation. adoptAsContextCandidate remains EFFECTFUL_EXACT and reuses the existing POST + AdoptAsContextCandidateRequest contract. Runtime execution is not asserted by this Word closure.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06"/>
        <w:gridCol w:w="1906"/>
        <w:gridCol w:w="1906"/>
        <w:gridCol w:w="1906"/>
        <w:gridCol w:w="1906"/>
        <w:gridCol w:w="1906"/>
      </w:tblGrid>
      <w:tr>
        <w:trPr>
          <w:tblHeader w:val="true"/>
        </w:trPr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19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Semantics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STR-01-TBL-COMPARE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compareCandidates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GET /v1/candidates/compare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No-form read contract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N/A - no mutation</w:t>
            </w:r>
          </w:p>
        </w:tc>
      </w:tr>
      <w:tr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/v1/state-commands/strategycandidate/adoptascontextcandidate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AdoptAsContextCandidateRequest</w:t>
            </w:r>
          </w:p>
        </w:tc>
        <w:tc>
          <w:tcPr>
            <w:tcW w:type="dxa" w:w="1906"/>
          </w:tcPr>
          <w:p>
            <w:pPr>
              <w:spacing w:before="0" w:after="0"/>
            </w:pPr>
            <w:r>
              <w:rPr>
                <w:sz w:val="7"/>
              </w:rPr>
              <w:t>Still requires explicit persistence-owner remediation if no exact owner is defined</w:t>
            </w:r>
          </w:p>
        </w:tc>
      </w:tr>
    </w:tbl>
    <w:p>
      <w:pPr>
        <w:sectPr>
          <w:pgSz w:w="12240" w:h="15840" w:orient="landscape"/>
          <w:pgMar w:top="475" w:right="403" w:bottom="475" w:left="403" w:header="720" w:footer="720" w:gutter="0"/>
          <w:cols w:space="720"/>
          <w:docGrid w:linePitch="360"/>
        </w:sectPr>
      </w:pPr>
    </w:p>
    <w:p>
      <w:pPr>
        <w:pStyle w:val="Heading1"/>
      </w:pPr>
      <w:r>
        <w:t>Batch 43 · Strategy Review / Context Adoption Canonical Contracts</w:t>
      </w:r>
    </w:p>
    <w:p>
      <w:r>
        <w:rPr>
          <w:b/>
        </w:rPr>
        <w:t xml:space="preserve">[ACPOS-20260922-BATCH-43-SYSTEM08-STRATEGY-CONTRACT-REMEDIATION-V1::SYSTEM08] </w:t>
      </w:r>
      <w:r>
        <w:t>Review submission is a governed request to enter REVIEW_REQUIRED, never an approval. Context adoption requires prior human review and persists through AI-01 Context authority plus System 08 audit linkage; Strategy does not create a second Context Engine.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 w:val="true"/>
        </w:trPr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Control UID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Method / Path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Payload / Schema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Persistence Owner</w:t>
            </w:r>
          </w:p>
        </w:tc>
        <w:tc>
          <w:tcPr>
            <w:tcW w:type="dxa" w:w="2506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Semantics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STR-01-BTN-SUBMIT-REVIEW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POST /v1/state-commands/strategycandidate/submitstrategyreview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SubmitStrategyReviewRequest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System 08 / StrategyCandidate + Review State/Audit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CANDIDATE_READY→REVIEW_REQUIRED requires exact candidate, expected_version, review permission and evidence; submission creates/updates governed review-request state only and must not create an approval decision.</w:t>
            </w:r>
          </w:p>
        </w:tc>
      </w:tr>
      <w:tr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STR-01-BTN-ADOPT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adoptAsContextCandidate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UNCHANGED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AI-01 Context Owner / Governed Strategy Context Adoption Link + System 08 Audit</w:t>
            </w:r>
          </w:p>
        </w:tc>
        <w:tc>
          <w:tcPr>
            <w:tcW w:type="dxa" w:w="2506"/>
          </w:tcPr>
          <w:p>
            <w:pPr>
              <w:spacing w:before="0" w:after="0"/>
            </w:pPr>
            <w:r>
              <w:rPr>
                <w:sz w:val="7"/>
              </w:rPr>
              <w:t>Adopt-as-context occurs only after human review/decision evidence and does not execute an owner module. Context authority remains AI-01; System 08 preserves candidate/decision/audit linkage without creating a second Context Engine.</w:t>
            </w:r>
          </w:p>
        </w:tc>
      </w:tr>
    </w:tbl>
    <w:sectPr w:rsidR="00FC693F" w:rsidRPr="0006063C" w:rsidSect="00034616">
      <w:pgSz w:w="15840" w:h="12240" w:orient="landscape"/>
      <w:pgMar w:top="475" w:right="403" w:bottom="475" w:left="4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