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>
              <w:t>—</w:t>
            </w:r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t>AdoptAsContextCandidateRequest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t>POST /v1/state-commands/strategycandidate/adoptascontextcandidate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t>GET /v1/conversations/{CONVERSATION_ID}/attachments/{ATTACHMENT_ID}/context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StopConversationGenerationRequest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t>POST /v1/conversations/{CONVERSATION_ID}/generation/stop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ACPOS-AI-03 Runtime Job + ACPOS-AI-02 ConversationAuditEnvelope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t>SubmitStrategyReviewRequest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t>POST /v1/state-commands/strategycandidate/submitstrategyreview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System 08 / StrategyCandidate + Review State/Audit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t>SendConversationMessageRequest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t>POST /v1/conversations/{CONVERSATION_ID}/messages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t>Shared Conversation Core / ConversationMessage + ConversationContextBinding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t>No-form read contract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t>GET /v1/candidates/compare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t>GET /v1/conversations/{CONVERSATION_ID}/projections/strategy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25 · Strong Exact Relation Binding Ledger</w:t>
      </w:r>
    </w:p>
    <w:p>
      <w:r>
        <w:rPr>
          <w:b/>
        </w:rPr>
        <w:t xml:space="preserve">[ACPOS-20260922-BATCH-25-STRONG-EXACT-RELATION-REMEDIATION-V1::PAGE::STR-01] </w:t>
      </w:r>
      <w:r>
        <w:t>Only same Canonical Owner + same Operation + identical Runtime Status relations are materialized. No shared-Gate inference, label matching, blocked-source promotion, or cross-owner transfer is permitted.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Field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Bound Value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8"/>
              </w:rPr>
              <w:t>STRONG_EXACT_RELATION_BOUND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[ACPOS-20260922-BATCH-27-CANONICAL-CONTRACT-RECONCILIATION-V1::PAGE::STR-01]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STR-01-TBL-COMPARE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compareCandidates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GET /v1/candidates/compare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No-form read; persistence owner non-applicable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STR-01-BTN-ADOPT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POST /v1/state-commands/strategycandidate/adoptascontextcandidate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Payload=AdoptAsContextCandidateRequest</w:t>
            </w:r>
          </w:p>
        </w:tc>
      </w:tr>
    </w:tbl>
    <w:p>
      <w:pPr>
        <w:sectPr>
          <w:pgSz w:w="12240" w:h="158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36 · Shared Conversation Core Contract Binding Ledger</w:t>
      </w:r>
    </w:p>
    <w:p>
      <w:r>
        <w:rPr>
          <w:b/>
        </w:rPr>
        <w:t xml:space="preserve">[ACPOS-20260922-BATCH-36-SYSTEM02-CANONICAL-CONTRACT-REMEDIATION-V1::PAGE::STR-01] </w:t>
      </w:r>
      <w:r>
        <w:t>Only the fields listed in the Current 324-cell denominator are synchronized. Existing Action/Gate/Permission/Operation/Runtime Owner/Runtime Status values remain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Fields Closed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STR-01-VIEW-CONVERSATION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getStrategicConversationProjection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/v1/conversations/{CONVERSATION_ID}/projections/strategy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STR-01-BTN-ATTACH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getConversationAttachmentContext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method_path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GET /v1/conversations/{CONVERSATION_ID}/attachments/{ATTACHMENT_ID}/context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N/A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STR-01-INP-MESSAGE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STR-01-BTN-SEND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/v1/conversations/{CONVERSATION_ID}/messages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SendConversationMessageRequest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Shared Conversation Core / ConversationMessage + ConversationContextBinding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payload_schema, persistence_owner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/v1/conversations/{CONVERSATION_ID}/generation/stop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StopConversationGenerationRequest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ACPOS-AI-03 Runtime Job + ACPOS-AI-02 ConversationAuditEnvelope</w:t>
            </w:r>
          </w:p>
        </w:tc>
      </w:tr>
    </w:tbl>
    <w:p>
      <w:pPr>
        <w:sectPr>
          <w:pgSz w:w="15840" w:h="12240" w:orient="landscape"/>
          <w:pgMar w:top="475" w:right="403" w:bottom="475" w:left="403" w:header="259" w:footer="259" w:gutter="0"/>
          <w:cols w:space="720"/>
          <w:docGrid w:linePitch="360"/>
        </w:sectPr>
      </w:pPr>
    </w:p>
    <w:p>
      <w:pPr>
        <w:pStyle w:val="Heading1"/>
      </w:pPr>
      <w:r>
        <w:t>Batch 43 · STR-01 Strategy Contract Binding Ledger</w:t>
      </w:r>
    </w:p>
    <w:p>
      <w:r>
        <w:rPr>
          <w:b/>
        </w:rPr>
        <w:t xml:space="preserve">[ACPOS-20260922-BATCH-43-SYSTEM08-STRATEGY-CONTRACT-REMEDIATION-V1::PAGE::STR-01]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