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Ledger</w:t>
      </w:r>
    </w:p>
    <w:p>
      <w:r>
        <w:rPr>
          <w:b/>
        </w:rPr>
        <w:t xml:space="preserve">[ACPOS-20260921-BATCH-15-OWNER-SPECIFIC-READ-PROJECTION-CLOSURE-V1::PAGE::DB-01] </w:t>
      </w:r>
      <w:r>
        <w:t>Applicability-only ledger. Product Control Registry rows remain unchanged; Operation stays '—'. Target UID is used so this evidence table is not a second product-control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