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t>GET /v1/conversations/{CONVERSATION_ID}/attachments/{ATTACHMENT_ID}/context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StopConversationGenerationRequest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ACPOS-AI-03 Runtime Job + ACPOS-AI-02 ConversationAuditEnvelope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t>SubmitStrategyReviewRequest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t>POST /v1/state-commands/strategycandidate/submitstrategyreview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System 08 / StrategyCandidate + Review State/Audit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t>GET /v1/conversations/{CONVERSATION_ID}/projections/strategy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[ACPOS-20260922-BATCH-27-CANONICAL-CONTRACT-RECONCILIATION-V1::PAGE::STR-01]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STR-01-TBL-COMPARE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STR-01-BTN-ADOPT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POST /v1/state-commands/strategycandidate/adoptascontextcandidate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Payload=AdoptAsContextCandidateRequest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[ACPOS-20260922-BATCH-36-SYSTEM02-CANONICAL-CONTRACT-REMEDIATION-V1::PAGE::STR-01]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STR-01-VIEW-CONVERSATION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getStrategicConversationProjection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/v1/conversations/{CONVERSATION_ID}/projections/strategy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STR-01-BTN-ATTACH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getConversationAttachmentContext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/v1/conversations/{CONVERSATION_ID}/attachments/{ATTACHMENT_ID}/context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43 · STR-01 Strategy Contract Binding Ledger</w:t>
      </w:r>
    </w:p>
    <w:p>
      <w:r>
        <w:rPr>
          <w:b/>
        </w:rPr>
        <w:t xml:space="preserve">[ACPOS-20260922-BATCH-43-SYSTEM08-STRATEGY-CONTRACT-REMEDIATION-V1::PAGE::STR-01]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