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createConversationThread / select / branch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sendConversationMessage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createAssistantSummary / 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evaluateCoreCandidate / read criteria/evidence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recordCoreHumanDecision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CORE-01-ACT-ASSISTANT-SUMMARY-CREATE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CORE-01-ACT-CANDIDATE-EVALUATE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CORE-01-ACT-HUMAN-DECISION-RECORD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CORE-01-ACT-ASSISTANT-STRUCTURED-DECISION-CREATE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t>ApproveProjectBlueprintRequest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t>CreateProjectBlueprintCandidateRequest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t>POST /v1/core/projects/{projectId}/blueprint-candidates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Candidate + CandidateVersion/Audit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t>ValidateProjectBlueprintRequest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t>GET /v1/core/candidates/compare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AcceptCoreCandidateRequest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t>POST /v1/core/candidates/{candidateId}/accept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CreateCoreCandidateRequest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t>POST /v1/core/candidates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Source/Context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t>GET /v1/core/canonical-script-versions/{canonicalScriptVersionId}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RequestChildLockRequest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t>POST /v1/locks/child-requests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TopicBlueprintVersion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SubmitCoreReviewRequest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t>POST /v1/core/projects/{projectId}/core-review-requests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t>RequestDNALockRequest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t>POST /v1/state-commands/dna/requestdnalock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DNAResolution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t>ConfirmProjectDraftRequest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t>POST /v1/core/projects/drafts/{draftId}/confirm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Confirmed State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CreateProjectDraftRequest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t>POST /v1/core/projects/drafts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RequestMotherLockRequest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t>POST /v1/locks/mother-requests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ValidateProjectDraftRequest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t>POST /v1/core/projects/drafts/{draftId}/validate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ProjectDraftVersion + Validation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RequestCoreCandidateRevisionRequest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t>POST /v1/core/candidates/{candidateId}/revision-requests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Revision Request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t>CreateStoryCandidateSetRequest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t>POST /v1/core/projects/{projectId}/story/candidate-sets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StoryCandidateSet + CandidateVersion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t>CreateTopicDraftRequest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t>POST /v1/core/projects/{projectId}/topics/drafts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Topic + TopicProductionScope Draft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CORE-01-ACT-ASSISTANT-SUMMARY-CREATE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EvaluateCoreCandidateRequest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t>POST /v1/core/candidates/{candidateId}/evaluation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Evaluation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CORE-01-ACT-HUMAN-DECISION-RECORD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RecordCoreHumanDecisionRequest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t>POST /v1/core/candidates/{candidateId}/human-decisions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Human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CORE-01-ACT-ASSISTANT-STRUCTURED-DECISION-CREATE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51 · CORE-01 Canonical Contract Binding Ledger</w:t>
      </w:r>
    </w:p>
    <w:p>
      <w:r>
        <w:rPr>
          <w:b/>
        </w:rPr>
        <w:t xml:space="preserve">[ACPOS-20260922-BATCH-51-SYSTEM04-CORE-CONTRACT-REMEDIATION-V1::PAGE::CORE-01]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7"/>
        <w:gridCol w:w="4007"/>
        <w:gridCol w:w="4007"/>
        <w:gridCol w:w="4007"/>
      </w:tblGrid>
      <w:tr>
        <w:trPr>
          <w:tblHeader w:val="true"/>
        </w:trPr>
        <w:tc>
          <w:tcPr>
            <w:tcW w:type="dxa" w:w="4007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T4R11[Create / compare / accept / return]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T4R4[createConversationThread / select / branch]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T4R12[Create candidate set]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Page Registry Identity Closure｜頁面識別補齊</w:t>
      </w:r>
    </w:p>
    <w:p>
      <w:r>
        <w:t>[ACPOS-DESIGN-CLOSURE:CORE-01:PAGE-IDENTITY]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Page UID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Canonical Name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Display Name</w:t>
            </w:r>
          </w:p>
        </w:tc>
        <w:tc>
          <w:tcPr>
            <w:tcW w:type="dxa" w:w="8014"/>
          </w:tcPr>
          <w:p>
            <w:r>
              <w:t>CORE 工作區</w:t>
            </w:r>
          </w:p>
        </w:tc>
      </w:tr>
      <w:tr>
        <w:tc>
          <w:tcPr>
            <w:tcW w:type="dxa" w:w="8014"/>
          </w:tcPr>
          <w:p>
            <w:r>
              <w:t>Route</w:t>
            </w:r>
          </w:p>
        </w:tc>
        <w:tc>
          <w:tcPr>
            <w:tcW w:type="dxa" w:w="8014"/>
          </w:tcPr>
          <w:p>
            <w: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c>
          <w:tcPr>
            <w:tcW w:type="dxa" w:w="8014"/>
          </w:tcPr>
          <w:p>
            <w:r>
              <w:t>Module UID</w:t>
            </w:r>
          </w:p>
        </w:tc>
        <w:tc>
          <w:tcPr>
            <w:tcW w:type="dxa" w:w="8014"/>
          </w:tcPr>
          <w:p>
            <w:r>
              <w:t>REFERENCE_ONLY → current Index / Global Navigation module mapping for this Page UID.</w:t>
            </w:r>
          </w:p>
        </w:tc>
      </w:tr>
      <w:tr>
        <w:tc>
          <w:tcPr>
            <w:tcW w:type="dxa" w:w="8014"/>
          </w:tcPr>
          <w:p>
            <w:r>
              <w:t>Purpose</w:t>
            </w:r>
          </w:p>
        </w:tc>
        <w:tc>
          <w:tcPr>
            <w:tcW w:type="dxa" w:w="8014"/>
          </w:tcPr>
          <w:p>
            <w:r>
              <w:t>CORE 工作區 current canonical page responsibility as defined by this Word.</w:t>
            </w:r>
          </w:p>
        </w:tc>
      </w:tr>
      <w:tr>
        <w:tc>
          <w:tcPr>
            <w:tcW w:type="dxa" w:w="8014"/>
          </w:tcPr>
          <w:p>
            <w:r>
              <w:t>Parent UID</w:t>
            </w:r>
          </w:p>
        </w:tc>
        <w:tc>
          <w:tcPr>
            <w:tcW w:type="dxa" w:w="8014"/>
          </w:tcPr>
          <w:p>
            <w:r>
              <w:t>REFERENCE_ONLY → current Global Navigation parent mapping.</w:t>
            </w:r>
          </w:p>
        </w:tc>
      </w:tr>
      <w:tr>
        <w:tc>
          <w:tcPr>
            <w:tcW w:type="dxa" w:w="8014"/>
          </w:tcPr>
          <w:p>
            <w:r>
              <w:t>Required Permission</w:t>
            </w:r>
          </w:p>
        </w:tc>
        <w:tc>
          <w:tcPr>
            <w:tcW w:type="dxa" w:w="8014"/>
          </w:tcPr>
          <w:p>
            <w:r>
              <w:t>Use the exact permission references already bound to current controls/actions; fail closed when unresolved.</w:t>
            </w:r>
          </w:p>
        </w:tc>
      </w:tr>
      <w:tr>
        <w:tc>
          <w:tcPr>
            <w:tcW w:type="dxa" w:w="8014"/>
          </w:tcPr>
          <w:p>
            <w:r>
              <w:t>Design Owner</w:t>
            </w:r>
          </w:p>
        </w:tc>
        <w:tc>
          <w:tcPr>
            <w:tcW w:type="dxa" w:w="8014"/>
          </w:tcPr>
          <w:p>
            <w:r>
              <w:t>ACPOS_CORE-01_MOTHER_BASIC_DESIGN_TECH_PURPLE_v1.0.docx</w:t>
            </w:r>
          </w:p>
        </w:tc>
      </w:tr>
      <w:tr>
        <w:tc>
          <w:tcPr>
            <w:tcW w:type="dxa" w:w="8014"/>
          </w:tcPr>
          <w:p>
            <w:r>
              <w:t>Implementation Owner</w:t>
            </w:r>
          </w:p>
        </w:tc>
        <w:tc>
          <w:tcPr>
            <w:tcW w:type="dxa" w:w="8014"/>
          </w:tcPr>
          <w:p>
            <w:r>
              <w:t>REFERENCE_ONLY → existing owner/port mappings in this Word; no new implementation owner is created here.</w:t>
            </w:r>
          </w:p>
        </w:tc>
      </w:tr>
      <w:tr>
        <w:tc>
          <w:tcPr>
            <w:tcW w:type="dxa" w:w="8014"/>
          </w:tcPr>
          <w:p>
            <w:r>
              <w:t>Visual Status</w:t>
            </w:r>
          </w:p>
        </w:tc>
        <w:tc>
          <w:tcPr>
            <w:tcW w:type="dxa" w:w="8014"/>
          </w:tcPr>
          <w:p>
            <w: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[ACPOS-DESIGN-CLOSURE:CORE-01:DESIGN-SYSTEM]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Color Tokens</w:t>
            </w:r>
          </w:p>
        </w:tc>
        <w:tc>
          <w:tcPr>
            <w:tcW w:type="dxa" w:w="8014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4"/>
          </w:tcPr>
          <w:p>
            <w:r>
              <w:t>Typography Tokens</w:t>
            </w:r>
          </w:p>
        </w:tc>
        <w:tc>
          <w:tcPr>
            <w:tcW w:type="dxa" w:w="8014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4"/>
          </w:tcPr>
          <w:p>
            <w:r>
              <w:t>Spacing Tokens</w:t>
            </w:r>
          </w:p>
        </w:tc>
        <w:tc>
          <w:tcPr>
            <w:tcW w:type="dxa" w:w="8014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4"/>
          </w:tcPr>
          <w:p>
            <w:r>
              <w:t>Component States</w:t>
            </w:r>
          </w:p>
        </w:tc>
        <w:tc>
          <w:tcPr>
            <w:tcW w:type="dxa" w:w="8014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4"/>
          </w:tcPr>
          <w:p>
            <w:r>
              <w:t>Primary Layout</w:t>
            </w:r>
          </w:p>
        </w:tc>
        <w:tc>
          <w:tcPr>
            <w:tcW w:type="dxa" w:w="8014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4"/>
          </w:tcPr>
          <w:p>
            <w:r>
              <w:t>Navigation Region</w:t>
            </w:r>
          </w:p>
        </w:tc>
        <w:tc>
          <w:tcPr>
            <w:tcW w:type="dxa" w:w="8014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4"/>
          </w:tcPr>
          <w:p>
            <w:r>
              <w:t>Responsive Behavior</w:t>
            </w:r>
          </w:p>
        </w:tc>
        <w:tc>
          <w:tcPr>
            <w:tcW w:type="dxa" w:w="8014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4"/>
          </w:tcPr>
          <w:p>
            <w:r>
              <w:t>Design Ownership</w:t>
            </w:r>
          </w:p>
        </w:tc>
        <w:tc>
          <w:tcPr>
            <w:tcW w:type="dxa" w:w="8014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[ACPOS-DESIGN-CLOSURE:CORE-01:GEOMETRY]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Viewport / Breakpoint UID</w:t>
            </w:r>
          </w:p>
        </w:tc>
        <w:tc>
          <w:tcPr>
            <w:tcW w:type="dxa" w:w="8014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4"/>
          </w:tcPr>
          <w:p>
            <w:r>
              <w:t>Container Width / Min / Max</w:t>
            </w:r>
          </w:p>
        </w:tc>
        <w:tc>
          <w:tcPr>
            <w:tcW w:type="dxa" w:w="8014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4"/>
          </w:tcPr>
          <w:p>
            <w:r>
              <w:t>Grid Columns / Span / Gutter / Outer Margin</w:t>
            </w:r>
          </w:p>
        </w:tc>
        <w:tc>
          <w:tcPr>
            <w:tcW w:type="dxa" w:w="8014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4"/>
          </w:tcPr>
          <w:p>
            <w:r>
              <w:t>Section Bounding Rules</w:t>
            </w:r>
          </w:p>
        </w:tc>
        <w:tc>
          <w:tcPr>
            <w:tcW w:type="dxa" w:w="8014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4"/>
          </w:tcPr>
          <w:p>
            <w:r>
              <w:t>Component / Control / Field Width / Height Rules</w:t>
            </w:r>
          </w:p>
        </w:tc>
        <w:tc>
          <w:tcPr>
            <w:tcW w:type="dxa" w:w="8014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4"/>
          </w:tcPr>
          <w:p>
            <w:r>
              <w:t>Min / Max Width / Height</w:t>
            </w:r>
          </w:p>
        </w:tc>
        <w:tc>
          <w:tcPr>
            <w:tcW w:type="dxa" w:w="8014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4"/>
          </w:tcPr>
          <w:p>
            <w:r>
              <w:t>Gap / Padding / Alignment</w:t>
            </w:r>
          </w:p>
        </w:tc>
        <w:tc>
          <w:tcPr>
            <w:tcW w:type="dxa" w:w="8014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4"/>
          </w:tcPr>
          <w:p>
            <w:r>
              <w:t>Aspect Ratio</w:t>
            </w:r>
          </w:p>
        </w:tc>
        <w:tc>
          <w:tcPr>
            <w:tcW w:type="dxa" w:w="8014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4"/>
          </w:tcPr>
          <w:p>
            <w:r>
              <w:t>Overflow / Scroll Rule</w:t>
            </w:r>
          </w:p>
        </w:tc>
        <w:tc>
          <w:tcPr>
            <w:tcW w:type="dxa" w:w="8014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4"/>
          </w:tcPr>
          <w:p>
            <w:r>
              <w:t>Collapse / Stack / Wrap Rule</w:t>
            </w:r>
          </w:p>
        </w:tc>
        <w:tc>
          <w:tcPr>
            <w:tcW w:type="dxa" w:w="8014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4"/>
          </w:tcPr>
          <w:p>
            <w:r>
              <w:t>Z-order / Overlay Rule</w:t>
            </w:r>
          </w:p>
        </w:tc>
        <w:tc>
          <w:tcPr>
            <w:tcW w:type="dxa" w:w="8014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4"/>
          </w:tcPr>
          <w:p>
            <w:r>
              <w:t>Text Capacity / Truncation / Wrap Rule</w:t>
            </w:r>
          </w:p>
        </w:tc>
        <w:tc>
          <w:tcPr>
            <w:tcW w:type="dxa" w:w="8014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4"/>
          </w:tcPr>
          <w:p>
            <w:r>
              <w:t>Asset Object-fit / Object-position</w:t>
            </w:r>
          </w:p>
        </w:tc>
        <w:tc>
          <w:tcPr>
            <w:tcW w:type="dxa" w:w="8014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4"/>
          </w:tcPr>
          <w:p>
            <w:r>
              <w:t>Locked Visual Anchors</w:t>
            </w:r>
          </w:p>
        </w:tc>
        <w:tc>
          <w:tcPr>
            <w:tcW w:type="dxa" w:w="8014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4"/>
          </w:tcPr>
          <w:p>
            <w:r>
              <w:t>Allowed Tolerance / Diff Threshold</w:t>
            </w:r>
          </w:p>
        </w:tc>
        <w:tc>
          <w:tcPr>
            <w:tcW w:type="dxa" w:w="8014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4"/>
          </w:tcPr>
          <w:p>
            <w:r>
              <w:t>Geometry Failure Set</w:t>
            </w:r>
          </w:p>
        </w:tc>
        <w:tc>
          <w:tcPr>
            <w:tcW w:type="dxa" w:w="8014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[ACPOS-DESIGN-CLOSURE:CORE-01:VISUAL]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CORE-01-VA-HEADER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CORE-01-VA-SIDEBAR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CORE-01-VA-WORKSPACE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[ACPOS-DESIGN-CLOSURE:CORE-01:VISUAL-CONTRACT]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Current Canonical Visual</w:t>
            </w:r>
          </w:p>
        </w:tc>
        <w:tc>
          <w:tcPr>
            <w:tcW w:type="dxa" w:w="8014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4"/>
          </w:tcPr>
          <w:p>
            <w:r>
              <w:t>Visual Candidate UID</w:t>
            </w:r>
          </w:p>
        </w:tc>
        <w:tc>
          <w:tcPr>
            <w:tcW w:type="dxa" w:w="8014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4"/>
          </w:tcPr>
          <w:p>
            <w:r>
              <w:t>Generation Manifest</w:t>
            </w:r>
          </w:p>
        </w:tc>
        <w:tc>
          <w:tcPr>
            <w:tcW w:type="dxa" w:w="8014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4"/>
          </w:tcPr>
          <w:p>
            <w:r>
              <w:t>Visual Preview</w:t>
            </w:r>
          </w:p>
        </w:tc>
        <w:tc>
          <w:tcPr>
            <w:tcW w:type="dxa" w:w="8014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4"/>
          </w:tcPr>
          <w:p>
            <w:r>
              <w:t>Visual Review</w:t>
            </w:r>
          </w:p>
        </w:tc>
        <w:tc>
          <w:tcPr>
            <w:tcW w:type="dxa" w:w="8014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4"/>
          </w:tcPr>
          <w:p>
            <w:r>
              <w:t>Approval Status</w:t>
            </w:r>
          </w:p>
        </w:tc>
        <w:tc>
          <w:tcPr>
            <w:tcW w:type="dxa" w:w="8014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4"/>
          </w:tcPr>
          <w:p>
            <w:r>
              <w:t>Change Set / Drift</w:t>
            </w:r>
          </w:p>
        </w:tc>
        <w:tc>
          <w:tcPr>
            <w:tcW w:type="dxa" w:w="8014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A11y / i18n Design Contract Closure｜無障礙與語系補齊</w:t>
      </w:r>
    </w:p>
    <w:p>
      <w:r>
        <w:t>[ACPOS-DESIGN-CLOSURE:CORE-01:A11Y-I18N]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Keyboard / Focus</w:t>
            </w:r>
          </w:p>
        </w:tc>
        <w:tc>
          <w:tcPr>
            <w:tcW w:type="dxa" w:w="8014"/>
          </w:tcPr>
          <w:p>
            <w:r>
              <w:t>Reading and focus order MUST follow semantic operation order. Every interactive control is keyboard reachable; Focus state remains visibly distinct.</w:t>
            </w:r>
          </w:p>
        </w:tc>
      </w:tr>
      <w:tr>
        <w:tc>
          <w:tcPr>
            <w:tcW w:type="dxa" w:w="8014"/>
          </w:tcPr>
          <w:p>
            <w:r>
              <w:t>ARIA / Label</w:t>
            </w:r>
          </w:p>
        </w:tc>
        <w:tc>
          <w:tcPr>
            <w:tcW w:type="dxa" w:w="8014"/>
          </w:tcPr>
          <w:p>
            <w:r>
              <w:t>Icon-only controls require accessible name/label; form fields bind visible label, validation/error description and required state.</w:t>
            </w:r>
          </w:p>
        </w:tc>
      </w:tr>
      <w:tr>
        <w:tc>
          <w:tcPr>
            <w:tcW w:type="dxa" w:w="8014"/>
          </w:tcPr>
          <w:p>
            <w:r>
              <w:t>Modal / Drawer</w:t>
            </w:r>
          </w:p>
        </w:tc>
        <w:tc>
          <w:tcPr>
            <w:tcW w:type="dxa" w:w="8014"/>
          </w:tcPr>
          <w:p>
            <w:r>
              <w:t>On open, focus enters the surface; focus remains contained where modal; close/cancel is keyboard reachable; focus returns to the invoking control.</w:t>
            </w:r>
          </w:p>
        </w:tc>
      </w:tr>
      <w:tr>
        <w:tc>
          <w:tcPr>
            <w:tcW w:type="dxa" w:w="8014"/>
          </w:tcPr>
          <w:p>
            <w:r>
              <w:t>Color / State</w:t>
            </w:r>
          </w:p>
        </w:tc>
        <w:tc>
          <w:tcPr>
            <w:tcW w:type="dxa" w:w="8014"/>
          </w:tcPr>
          <w:p>
            <w:r>
              <w:t>State meaning MUST NOT rely on color alone; text/icon/state label remains available under current contrast tokens.</w:t>
            </w:r>
          </w:p>
        </w:tc>
      </w:tr>
      <w:tr>
        <w:tc>
          <w:tcPr>
            <w:tcW w:type="dxa" w:w="8014"/>
          </w:tcPr>
          <w:p>
            <w:r>
              <w:t>Error / Validation</w:t>
            </w:r>
          </w:p>
        </w:tc>
        <w:tc>
          <w:tcPr>
            <w:tcW w:type="dxa" w:w="8014"/>
          </w:tcPr>
          <w:p>
            <w:r>
              <w:t>Error state is announced/associated with its control or field; failure does not erase user input unless the current design explicitly requires reset.</w:t>
            </w:r>
          </w:p>
        </w:tc>
      </w:tr>
      <w:tr>
        <w:tc>
          <w:tcPr>
            <w:tcW w:type="dxa" w:w="8014"/>
          </w:tcPr>
          <w:p>
            <w:r>
              <w:t>i18n Languages</w:t>
            </w:r>
          </w:p>
        </w:tc>
        <w:tc>
          <w:tcPr>
            <w:tcW w:type="dxa" w:w="8014"/>
          </w:tcPr>
          <w:p>
            <w: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c>
          <w:tcPr>
            <w:tcW w:type="dxa" w:w="8014"/>
          </w:tcPr>
          <w:p>
            <w:r>
              <w:t>Variable Text Length</w:t>
            </w:r>
          </w:p>
        </w:tc>
        <w:tc>
          <w:tcPr>
            <w:tcW w:type="dxa" w:w="8014"/>
          </w:tcPr>
          <w:p>
            <w:r>
              <w:t>Localized text may wrap/reflow within current responsive rules but MUST NOT alter functional order, hide required actions or create uncontrolled layout drift.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