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INFO-01-OBJ-INFERENCE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Inference / Recommendation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FactPackService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>
              <w:t>Entity Role=SUPPORTING_ARTIFACT；explicit non-FACT classification + supporting fact/evidence refs + scope；read/context selection only。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ACPOSStateProjection + Projection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t>Global Brain / SemanticIndexResult + Search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41 · INFO-01 Projection Persistence Binding Ledger</w:t>
      </w:r>
    </w:p>
    <w:p>
      <w:r>
        <w:rPr>
          <w:b/>
        </w:rPr>
        <w:t xml:space="preserve">[ACPOS-20260922-BATCH-41-SYSTEM01-INFO-PERSISTENCE-REMEDIATION-V1::PAGE::INFO-01] </w:t>
      </w:r>
      <w:r>
        <w:t>Projection/search/export persistence is derived/audit state only. Domain canonical business rows remain under their original owners. No physical table names are invented and no exported/search result is promoted to canonical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INFO-01-BTN-REFRESH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ACPOSStateProjection + Projection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Refresh rematerializes a derived projection for an exact domain version. It must not create a second canonical domain row; projection state/version and audit lineage remain reconstructable.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INFO-01-BTN-SEARCH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Search persists only search/index result pointers, scope and audit/evidence needed to dereference exact source/version/evidence. Search score/result is not canonical truth.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INFO-01-BTN-EXPORT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Global Brain / Export Artifact + Export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export artifact and audit lineage for the exact projection/scope. Export output does not become a second canonical owner for domain data.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InformationAlert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[ACPOS-DESIGN-CLOSURE:INFO-01:REQUIREMENTS]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INFO-01／資訊／研究工作區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在受治理來源與 exact evidence 下管理 Source Health、Fact Pack、Fact/Inference、Evidence/Citation、Research/Quality 與候選資訊，維持 source/version/audit 可追溯。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INFO-01 資訊、研究、查證或治理權限的內部使用者。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選擇 authorized source/scope、檢視 readiness/health/status、組合 Fact Pack、查看 Evidence/Citation、形成受治理的 inference/recommendation supporting artifact 與後續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Real Data Only、Evidence-first、Fail Closed、Exact source/version、Audit、不可把 inference 當 verified fact。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Source Registry、禁止憑空生成 Fact/Evidence、禁止把 supporting artifact 升格成未授權 Business Entity。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INFO-01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UID=INFO-01；Owner File=ACPOS_INFO-01_MOTHER_BASIC_DESIGN_TECH_PURPLE_v1.0.docx；Current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INFO-01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[ACPOS-DESIGN-CLOSURE:INFO-01:DESIGN-SYSTEM]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[ACPOS-DESIGN-CLOSURE:INFO-01:GEOMETRY]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A11y / i18n Design Contract Closure｜無障礙與語系補齊</w:t>
      </w:r>
    </w:p>
    <w:p>
      <w:r>
        <w:t>[ACPOS-DESIGN-CLOSURE:INFO-01:A11Y-I18N]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Keyboard / Focus</w:t>
            </w:r>
          </w:p>
        </w:tc>
        <w:tc>
          <w:tcPr>
            <w:tcW w:type="dxa" w:w="5717"/>
          </w:tcPr>
          <w:p>
            <w:r>
              <w:t>Reading and focus order MUST follow semantic operation order. Every interactive control is keyboard reachable; Focus state remains visibly distinct.</w:t>
            </w:r>
          </w:p>
        </w:tc>
      </w:tr>
      <w:tr>
        <w:tc>
          <w:tcPr>
            <w:tcW w:type="dxa" w:w="5717"/>
          </w:tcPr>
          <w:p>
            <w:r>
              <w:t>ARIA / Label</w:t>
            </w:r>
          </w:p>
        </w:tc>
        <w:tc>
          <w:tcPr>
            <w:tcW w:type="dxa" w:w="5717"/>
          </w:tcPr>
          <w:p>
            <w:r>
              <w:t>Icon-only controls require accessible name/label; form fields bind visible label, validation/error description and required state.</w:t>
            </w:r>
          </w:p>
        </w:tc>
      </w:tr>
      <w:tr>
        <w:tc>
          <w:tcPr>
            <w:tcW w:type="dxa" w:w="5717"/>
          </w:tcPr>
          <w:p>
            <w:r>
              <w:t>Modal / Drawer</w:t>
            </w:r>
          </w:p>
        </w:tc>
        <w:tc>
          <w:tcPr>
            <w:tcW w:type="dxa" w:w="5717"/>
          </w:tcPr>
          <w:p>
            <w:r>
              <w:t>On open, focus enters the surface; focus remains contained where modal; close/cancel is keyboard reachable; focus returns to the invoking control.</w:t>
            </w:r>
          </w:p>
        </w:tc>
      </w:tr>
      <w:tr>
        <w:tc>
          <w:tcPr>
            <w:tcW w:type="dxa" w:w="5717"/>
          </w:tcPr>
          <w:p>
            <w:r>
              <w:t>Color / State</w:t>
            </w:r>
          </w:p>
        </w:tc>
        <w:tc>
          <w:tcPr>
            <w:tcW w:type="dxa" w:w="5717"/>
          </w:tcPr>
          <w:p>
            <w:r>
              <w:t>State meaning MUST NOT rely on color alone; text/icon/state label remains available under current contrast tokens.</w:t>
            </w:r>
          </w:p>
        </w:tc>
      </w:tr>
      <w:tr>
        <w:tc>
          <w:tcPr>
            <w:tcW w:type="dxa" w:w="5717"/>
          </w:tcPr>
          <w:p>
            <w:r>
              <w:t>Error / Validation</w:t>
            </w:r>
          </w:p>
        </w:tc>
        <w:tc>
          <w:tcPr>
            <w:tcW w:type="dxa" w:w="5717"/>
          </w:tcPr>
          <w:p>
            <w:r>
              <w:t>Error state is announced/associated with its control or field; failure does not erase user input unless the current design explicitly requires reset.</w:t>
            </w:r>
          </w:p>
        </w:tc>
      </w:tr>
      <w:tr>
        <w:tc>
          <w:tcPr>
            <w:tcW w:type="dxa" w:w="5717"/>
          </w:tcPr>
          <w:p>
            <w:r>
              <w:t>i18n Languages</w:t>
            </w:r>
          </w:p>
        </w:tc>
        <w:tc>
          <w:tcPr>
            <w:tcW w:type="dxa" w:w="5717"/>
          </w:tcPr>
          <w:p>
            <w: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c>
          <w:tcPr>
            <w:tcW w:type="dxa" w:w="5717"/>
          </w:tcPr>
          <w:p>
            <w:r>
              <w:t>Variable Text Length</w:t>
            </w:r>
          </w:p>
        </w:tc>
        <w:tc>
          <w:tcPr>
            <w:tcW w:type="dxa" w:w="5717"/>
          </w:tcPr>
          <w:p>
            <w:r>
              <w:t>Localized text may wrap/reflow within current responsive rules but MUST NOT alter functional order, hide required actions or create uncontrolled layout drift.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