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ApproveVideoCorrectionScriptCandidateRequest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ConfirmVideoCandidateRequest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t>System 05 / VideoOutputVersion Confirmed State +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t>EvaluateVideoCandidateRequest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/v1/video-runtime-runs/{runId}/candidates/{videoOutputVersionId}/evaluations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EvaluationResult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ExecuteVideoCorrectionRequest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t>POST /v1/video-runtime-runs/{runId}/corrections/execute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VideoOutputVersion + Correction/Delta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StartVideoGenerationFlowRequest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t>POST /v1/video-runtime-runs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+ VideoOutputVersion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CreateVideoFindingRequest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/v1/video-runtime-runs/{runId}/candidates/{videoOutputVersionId}/findings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Finding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GenerateVideoCorrectionScriptCandidateRequest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t>HandoffVideoToEditRequest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t>POST /v1/video-runtime-runs/{runId}/handoff-to-edit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t>System 05 / HandoffManifest + VideoOutputVersion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LockVideoVersionRequest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RetryVideoTaskRequest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t>POST /v1/video-runtime-runs/{runId}/tasks/{taskId}/retry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Retry Attempt + Video Generation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55 · VIDEO-01 Contract Binding Ledger</w:t>
      </w:r>
    </w:p>
    <w:p>
      <w:r>
        <w:t>[ACPOS-20260922-BATCH-55-VIDEO-CONTRACT-REMEDIATION-V1::PAGE::VIDEO-01] Existing Video lock and correction-script state-command routes are preserved. Seven previously undefined VIDEO routes are formal System 05 design contracts. VideoOutputVersion remains immutable/versioned; correction creates new lineage; evaluation cannot auto-confirm; handoff requires exact successor-consumable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VideoOutputVersion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generation only from exact admitted production input/bindings. Job/run creation is not output confirmation; provider/runtime success requires separate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Confirmed State + Decision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binds exact candidate/output version and authorized decision evidence, producing immutable confirmed lineage without overwriting prior VideoOutputVersion.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/v1/state-commands/videoversion/lock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lock route/persistence. Lock binds exact video output version/hash and governed decision evidence; request/command is not self-approval.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/v1/video-runtime-runs/{runId}/handoff-to-edit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VideoOutputVersion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VIDEO→EDIT handoff must include exact VideoOutputVersion + Scene/Shot lineage + Asset/Script/DNA refs + continuity + rights/policy; successor admission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VIDEO-01-BTN-GEN-CORRECTION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correction-script generation route. Persists a candidate/version with exact source/output/findings/context refs; candidate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VIDEO-01-BTN-APPROVE-CORRECTION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route. Human/authorized approval binds exact correction script candidate/version; prior versions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+ Correction/Delta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script/delta against exact selected source version. Correction produces a new VideoOutputVersion and preserves unchanged shot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Video Generation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failure evidence; it cannot erase prior attempts or change scope silently.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score/evidence/findings against exact criteria and VideoOutputVersion.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/v1/video-runtime-runs/{runId}/candidates/{videoOutputVersionId}/findings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Finding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Finding binds exact source VideoOutputVersion/shot or scene lineage, category, severity, evidence and expected correction; no silent acceptance.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[ACPOS-DESIGN-CLOSURE:VIDEO-01:DESIGN-SYSTEM]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[ACPOS-DESIGN-CLOSURE:VIDEO-01:GEOMETRY]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[ACPOS-DESIGN-CLOSURE:VIDEO-01:VISUAL]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2221"/>
          </w:tcPr>
          <w:p>
            <w:r>
              <w:t>Anchor UID</w:t>
            </w:r>
          </w:p>
        </w:tc>
        <w:tc>
          <w:tcPr>
            <w:tcW w:type="dxa" w:w="2221"/>
          </w:tcPr>
          <w:p>
            <w:r>
              <w:t>Position Rule</w:t>
            </w:r>
          </w:p>
        </w:tc>
        <w:tc>
          <w:tcPr>
            <w:tcW w:type="dxa" w:w="2221"/>
          </w:tcPr>
          <w:p>
            <w:r>
              <w:t>Dimension Rule</w:t>
            </w:r>
          </w:p>
        </w:tc>
        <w:tc>
          <w:tcPr>
            <w:tcW w:type="dxa" w:w="2221"/>
          </w:tcPr>
          <w:p>
            <w:r>
              <w:t>Relationship Rule</w:t>
            </w:r>
          </w:p>
        </w:tc>
        <w:tc>
          <w:tcPr>
            <w:tcW w:type="dxa" w:w="2221"/>
          </w:tcPr>
          <w:p>
            <w:r>
              <w:t>Lock Status</w:t>
            </w:r>
          </w:p>
        </w:tc>
      </w:tr>
      <w:tr>
        <w:tc>
          <w:tcPr>
            <w:tcW w:type="dxa" w:w="2221"/>
          </w:tcPr>
          <w:p>
            <w:r>
              <w:t>VIDEO-01-VA-HEADER</w:t>
            </w:r>
          </w:p>
        </w:tc>
        <w:tc>
          <w:tcPr>
            <w:tcW w:type="dxa" w:w="2221"/>
          </w:tcPr>
          <w:p>
            <w:r>
              <w:t>Fixed at top of shared shell</w:t>
            </w:r>
          </w:p>
        </w:tc>
        <w:tc>
          <w:tcPr>
            <w:tcW w:type="dxa" w:w="2221"/>
          </w:tcPr>
          <w:p>
            <w:r>
              <w:t>58px full-width according to current shell authority</w:t>
            </w:r>
          </w:p>
        </w:tc>
        <w:tc>
          <w:tcPr>
            <w:tcW w:type="dxa" w:w="2221"/>
          </w:tcPr>
          <w:p>
            <w:r>
              <w:t>Above Sidebar/Workspace; must not be covered by page content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VIDEO-01-VA-SIDEBAR</w:t>
            </w:r>
          </w:p>
        </w:tc>
        <w:tc>
          <w:tcPr>
            <w:tcW w:type="dxa" w:w="2221"/>
          </w:tcPr>
          <w:p>
            <w:r>
              <w:t>Fixed left rail under shared shell header</w:t>
            </w:r>
          </w:p>
        </w:tc>
        <w:tc>
          <w:tcPr>
            <w:tcW w:type="dxa" w:w="2221"/>
          </w:tcPr>
          <w:p>
            <w:r>
              <w:t>64px resting; 221px overlay expansion where current shell defines it</w:t>
            </w:r>
          </w:p>
        </w:tc>
        <w:tc>
          <w:tcPr>
            <w:tcW w:type="dxa" w:w="2221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VIDEO-01-VA-WORKSPACE</w:t>
            </w:r>
          </w:p>
        </w:tc>
        <w:tc>
          <w:tcPr>
            <w:tcW w:type="dxa" w:w="2221"/>
          </w:tcPr>
          <w:p>
            <w:r>
              <w:t>Current page primary content region below Header / beside resting rail</w:t>
            </w:r>
          </w:p>
        </w:tc>
        <w:tc>
          <w:tcPr>
            <w:tcW w:type="dxa" w:w="2221"/>
          </w:tcPr>
          <w:p>
            <w:r>
              <w:t>Use this Word's existing Primary Grid / section dimensions</w:t>
            </w:r>
          </w:p>
        </w:tc>
        <w:tc>
          <w:tcPr>
            <w:tcW w:type="dxa" w:w="2221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21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[ACPOS-DESIGN-CLOSURE:VIDEO-01:VISUAL-CONTRACT]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Current Canonical Visual</w:t>
            </w:r>
          </w:p>
        </w:tc>
        <w:tc>
          <w:tcPr>
            <w:tcW w:type="dxa" w:w="5551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551"/>
          </w:tcPr>
          <w:p>
            <w:r>
              <w:t>Visual Candidate UID</w:t>
            </w:r>
          </w:p>
        </w:tc>
        <w:tc>
          <w:tcPr>
            <w:tcW w:type="dxa" w:w="5551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551"/>
          </w:tcPr>
          <w:p>
            <w:r>
              <w:t>Generation Manifest</w:t>
            </w:r>
          </w:p>
        </w:tc>
        <w:tc>
          <w:tcPr>
            <w:tcW w:type="dxa" w:w="5551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551"/>
          </w:tcPr>
          <w:p>
            <w:r>
              <w:t>Visual Preview</w:t>
            </w:r>
          </w:p>
        </w:tc>
        <w:tc>
          <w:tcPr>
            <w:tcW w:type="dxa" w:w="5551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551"/>
          </w:tcPr>
          <w:p>
            <w:r>
              <w:t>Visual Review</w:t>
            </w:r>
          </w:p>
        </w:tc>
        <w:tc>
          <w:tcPr>
            <w:tcW w:type="dxa" w:w="5551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551"/>
          </w:tcPr>
          <w:p>
            <w:r>
              <w:t>Approval Status</w:t>
            </w:r>
          </w:p>
        </w:tc>
        <w:tc>
          <w:tcPr>
            <w:tcW w:type="dxa" w:w="5551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551"/>
          </w:tcPr>
          <w:p>
            <w:r>
              <w:t>Change Set / Drift</w:t>
            </w:r>
          </w:p>
        </w:tc>
        <w:tc>
          <w:tcPr>
            <w:tcW w:type="dxa" w:w="5551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[ACPOS-DESIGN-CLOSURE:VIDEO-01:A11Y-I18N]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Keyboard / Focus</w:t>
            </w:r>
          </w:p>
        </w:tc>
        <w:tc>
          <w:tcPr>
            <w:tcW w:type="dxa" w:w="5551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551"/>
          </w:tcPr>
          <w:p>
            <w:r>
              <w:t>ARIA / Label</w:t>
            </w:r>
          </w:p>
        </w:tc>
        <w:tc>
          <w:tcPr>
            <w:tcW w:type="dxa" w:w="5551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551"/>
          </w:tcPr>
          <w:p>
            <w:r>
              <w:t>Modal / Drawer</w:t>
            </w:r>
          </w:p>
        </w:tc>
        <w:tc>
          <w:tcPr>
            <w:tcW w:type="dxa" w:w="5551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551"/>
          </w:tcPr>
          <w:p>
            <w:r>
              <w:t>Color / State</w:t>
            </w:r>
          </w:p>
        </w:tc>
        <w:tc>
          <w:tcPr>
            <w:tcW w:type="dxa" w:w="5551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551"/>
          </w:tcPr>
          <w:p>
            <w:r>
              <w:t>Error / Validation</w:t>
            </w:r>
          </w:p>
        </w:tc>
        <w:tc>
          <w:tcPr>
            <w:tcW w:type="dxa" w:w="5551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551"/>
          </w:tcPr>
          <w:p>
            <w:r>
              <w:t>i18n Languages</w:t>
            </w:r>
          </w:p>
        </w:tc>
        <w:tc>
          <w:tcPr>
            <w:tcW w:type="dxa" w:w="5551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551"/>
          </w:tcPr>
          <w:p>
            <w:r>
              <w:t>Variable Text Length</w:t>
            </w:r>
          </w:p>
        </w:tc>
        <w:tc>
          <w:tcPr>
            <w:tcW w:type="dxa" w:w="5551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