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Noto Sans CJK TC" w:hAnsi="Noto Sans CJK TC" w:eastAsia="Noto Sans CJK TC"/>
          <w:b/>
          <w:color w:val="6E35FF"/>
          <w:sz w:val="28"/>
        </w:rPr>
        <w:t>ACPOS · AIAPI-01</w:t>
      </w:r>
    </w:p>
    <w:p>
      <w:pPr>
        <w:spacing w:after="80"/>
      </w:pPr>
      <w:r>
        <w:rPr>
          <w:rFonts w:ascii="Noto Sans CJK TC" w:hAnsi="Noto Sans CJK TC" w:eastAsia="Noto Sans CJK TC"/>
          <w:b/>
          <w:color w:val="171B34"/>
          <w:sz w:val="46"/>
        </w:rPr>
        <w:t>AI API 管理｜Mother Basic Design</w:t>
      </w:r>
    </w:p>
    <w:p>
      <w:pPr>
        <w:spacing w:after="160"/>
      </w:pPr>
      <w:r>
        <w:rPr>
          <w:rFonts w:ascii="Noto Sans CJK TC" w:hAnsi="Noto Sans CJK TC" w:eastAsia="Noto Sans CJK TC"/>
          <w:b/>
          <w:color w:val="5840A0"/>
          <w:sz w:val="20"/>
        </w:rPr>
        <w:t>Provider Governance · Credential Safety · Capability · Routing · Sandbox · Operations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488"/>
            <w:shd w:fill="EEE9FF"/>
            <w:tcBorders>
              <w:top w:val="single" w:sz="6" w:color="B7A7EF"/>
              <w:left w:val="single" w:sz="6" w:color="B7A7EF"/>
              <w:bottom w:val="single" w:sz="6" w:color="B7A7EF"/>
              <w:right w:val="single" w:sz="6" w:color="B7A7EF"/>
              <w:insideH w:val="single" w:sz="6" w:color="B7A7EF"/>
              <w:insideV w:val="single" w:sz="6" w:color="B7A7EF"/>
            </w:tcBorders>
          </w:tcPr>
          <w:p>
            <w:pPr>
              <w:spacing w:after="20"/>
            </w:pPr>
            <w:r>
              <w:rPr>
                <w:rFonts w:ascii="Noto Sans CJK TC" w:hAnsi="Noto Sans CJK TC" w:eastAsia="Noto Sans CJK TC"/>
                <w:b/>
                <w:color w:val="5840A0"/>
                <w:sz w:val="16"/>
              </w:rPr>
              <w:t>頁面定位｜</w:t>
            </w:r>
            <w:r>
              <w:rPr>
                <w:rFonts w:ascii="Noto Sans CJK TC" w:hAnsi="Noto Sans CJK TC" w:eastAsia="Noto Sans CJK TC"/>
                <w:sz w:val="16"/>
              </w:rPr>
              <w:t>單一 AI API 管理工作區。管理 Provider/Model Profile、Credential、Capability、Route/Test、Job/Cost/Incident；不建立第二套 Provider Registry、Secret Store、Router 或 AI Runtime。</w:t>
            </w:r>
          </w:p>
        </w:tc>
        <w:trPr>
          <w:tblHeader/>
        </w:trPr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tblHeader w:val="true"/>
        </w:trPr>
        <w:tc>
          <w:tcPr>
            <w:tcW w:type="dxa" w:w="5244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頁面設計身份</w:t>
            </w:r>
          </w:p>
        </w:tc>
        <w:tc>
          <w:tcPr>
            <w:tcW w:type="dxa" w:w="5244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定義</w:t>
            </w:r>
          </w:p>
        </w:tc>
      </w:tr>
      <w:tr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6"/>
              </w:rPr>
              <w:t>Page UID</w:t>
            </w:r>
          </w:p>
        </w:tc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6"/>
              </w:rPr>
              <w:t>admin:AIAPI-01</w:t>
            </w:r>
          </w:p>
        </w:tc>
      </w:tr>
      <w:tr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6"/>
              </w:rPr>
              <w:t>頁面名稱</w:t>
            </w:r>
          </w:p>
        </w:tc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6"/>
              </w:rPr>
              <w:t>AI API 管理 / AI API Management</w:t>
            </w:r>
          </w:p>
        </w:tc>
      </w:tr>
      <w:tr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6"/>
              </w:rPr>
              <w:t>Surface</w:t>
            </w:r>
          </w:p>
        </w:tc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6"/>
              </w:rPr>
              <w:t>ADMIN</w:t>
            </w:r>
          </w:p>
        </w:tc>
      </w:tr>
      <w:tr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6"/>
              </w:rPr>
              <w:t>Workspace</w:t>
            </w:r>
          </w:p>
        </w:tc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6"/>
              </w:rPr>
              <w:t>Single-page · 4 practical views</w:t>
            </w:r>
          </w:p>
        </w:tc>
      </w:tr>
      <w:tr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6"/>
              </w:rPr>
              <w:t>Default View</w:t>
            </w:r>
          </w:p>
        </w:tc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6"/>
              </w:rPr>
              <w:t>Provider / API 設定</w:t>
            </w:r>
          </w:p>
        </w:tc>
      </w:tr>
      <w:tr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6"/>
              </w:rPr>
              <w:t>Global Pattern</w:t>
            </w:r>
          </w:p>
        </w:tc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6"/>
              </w:rPr>
              <w:t>繼承既有 Global Shell / Global Visual；本頁不另造視覺系統</w:t>
            </w:r>
          </w:p>
        </w:tc>
      </w:tr>
      <w:tr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6"/>
              </w:rPr>
              <w:t>Missing Value</w:t>
            </w:r>
          </w:p>
        </w:tc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6"/>
              </w:rPr>
              <w:t>—；不得用 0 / Healthy / Success 補值</w:t>
            </w:r>
          </w:p>
        </w:tc>
      </w:tr>
      <w:tr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6"/>
              </w:rPr>
              <w:t>Runtime Boundary</w:t>
            </w:r>
          </w:p>
        </w:tc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6"/>
              </w:rPr>
              <w:t>前端管理面；既有 Provider / Compiler / Job / Secret owners 為唯一 backend owners</w:t>
            </w:r>
          </w:p>
        </w:tc>
      </w:tr>
    </w:tbl>
    <w:p>
      <w:pPr>
        <w:spacing w:after="20"/>
      </w:pPr>
    </w:p>
    <w:p>
      <w:pPr>
        <w:pStyle w:val="Heading1"/>
        <w:spacing w:before="100" w:after="40"/>
      </w:pPr>
      <w:r>
        <w:t>1. 產品目標與設計原則</w:t>
      </w:r>
    </w:p>
    <w:p>
      <w:pPr>
        <w:pStyle w:val="ListBullet"/>
        <w:spacing w:after="16"/>
        <w:ind w:left="0"/>
      </w:pPr>
      <w:r>
        <w:rPr>
          <w:rFonts w:ascii="Noto Sans CJK TC" w:hAnsi="Noto Sans CJK TC" w:eastAsia="Noto Sans CJK TC"/>
          <w:sz w:val="16"/>
        </w:rPr>
        <w:t>把 Provider 設定、能力治理、路由測試、作業成本監控收斂在同一頁，避免操作人員在多個管理頁之間失去 Provider/Profile 上下文。</w:t>
      </w:r>
    </w:p>
    <w:p>
      <w:pPr>
        <w:pStyle w:val="ListBullet"/>
        <w:spacing w:after="16"/>
        <w:ind w:left="0"/>
      </w:pPr>
      <w:r>
        <w:rPr>
          <w:rFonts w:ascii="Noto Sans CJK TC" w:hAnsi="Noto Sans CJK TC" w:eastAsia="Noto Sans CJK TC"/>
          <w:sz w:val="16"/>
        </w:rPr>
        <w:t>任何 Effectful 動作必須綁定已註冊 Operation、Permission、Gate 與 Runtime Owner；未知能力、Endpoint、價格、限制或 Provider 資料一律顯示 — 或 BLOCK。</w:t>
      </w:r>
    </w:p>
    <w:p>
      <w:pPr>
        <w:pStyle w:val="ListBullet"/>
        <w:spacing w:after="16"/>
        <w:ind w:left="0"/>
      </w:pPr>
      <w:r>
        <w:rPr>
          <w:rFonts w:ascii="Noto Sans CJK TC" w:hAnsi="Noto Sans CJK TC" w:eastAsia="Noto Sans CJK TC"/>
          <w:sz w:val="16"/>
        </w:rPr>
        <w:t>Secret 僅允許寫入與狀態檢視，不提供明文回顯、匯出、日誌或 Audit Plaintext。</w:t>
      </w:r>
    </w:p>
    <w:p>
      <w:pPr>
        <w:pStyle w:val="ListBullet"/>
        <w:spacing w:after="16"/>
        <w:ind w:left="0"/>
      </w:pPr>
      <w:r>
        <w:rPr>
          <w:rFonts w:ascii="Noto Sans CJK TC" w:hAnsi="Noto Sans CJK TC" w:eastAsia="Noto Sans CJK TC"/>
          <w:sz w:val="16"/>
        </w:rPr>
        <w:t>路由由能力、Rights、Data Classification、Health/Test、Budget/Policy 等硬條件決定；前端不得 Override。</w:t>
      </w:r>
    </w:p>
    <w:p>
      <w:pPr>
        <w:pStyle w:val="ListBullet"/>
        <w:spacing w:after="16"/>
        <w:ind w:left="0"/>
      </w:pPr>
      <w:r>
        <w:rPr>
          <w:rFonts w:ascii="Noto Sans CJK TC" w:hAnsi="Noto Sans CJK TC" w:eastAsia="Noto Sans CJK TC"/>
          <w:sz w:val="16"/>
        </w:rPr>
        <w:t>所有 Provider-specific Prompt/Request 轉換只能改語法與欄位映射，不得改變 Canonical Instruction 的治理語意。</w:t>
      </w:r>
    </w:p>
    <w:p>
      <w:pPr>
        <w:pStyle w:val="Heading1"/>
        <w:spacing w:before="100" w:after="40"/>
      </w:pPr>
      <w:r>
        <w:t>2. Scope / Out-of-Scope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tblHeader w:val="true"/>
        </w:trPr>
        <w:tc>
          <w:tcPr>
            <w:tcW w:type="dxa" w:w="5244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範圍</w:t>
            </w:r>
          </w:p>
        </w:tc>
        <w:tc>
          <w:tcPr>
            <w:tcW w:type="dxa" w:w="5244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內容</w:t>
            </w:r>
          </w:p>
        </w:tc>
      </w:tr>
      <w:tr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6"/>
              </w:rPr>
              <w:t>IN</w:t>
            </w:r>
          </w:p>
        </w:tc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6"/>
              </w:rPr>
              <w:t>Provider/Model Profile、Credential Status、Capability Governance、Professional Description、Candidate Group、Preflight、Compile Audit、Sandbox、Route Decision、Quarantine、Job/Attempt/Callback/Artifact、Cost/Budget/Incident、Kill Switch、Queue Diagnostic。</w:t>
            </w:r>
          </w:p>
        </w:tc>
      </w:tr>
      <w:tr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6"/>
              </w:rPr>
              <w:t>OUT</w:t>
            </w:r>
          </w:p>
        </w:tc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6"/>
              </w:rPr>
              <w:t>部門工作頁的 Provider Picker、第二套 Provider Registry、第二套 Secret DB、第二套 Router、前端直接 SDK 呼叫、未註冊 API、明文 Secret、Client-side Job State Write、未驗證 Callback Success。</w:t>
            </w:r>
          </w:p>
        </w:tc>
      </w:tr>
      <w:tr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6"/>
              </w:rPr>
              <w:t>BOUNDARY</w:t>
            </w:r>
          </w:p>
        </w:tc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6"/>
              </w:rPr>
              <w:t>AIAPI-01 管 Provider 能力與執行基礎；CORE / ASSET / VIDEO / EDIT / STRATEGY 只提交 provider-neutral instruction 與 capability requirement。</w:t>
            </w:r>
          </w:p>
        </w:tc>
      </w:tr>
    </w:tbl>
    <w:p>
      <w:pPr>
        <w:spacing w:after="20"/>
      </w:pPr>
    </w:p>
    <w:p>
      <w:pPr>
        <w:pStyle w:val="Heading1"/>
        <w:spacing w:before="100" w:after="40"/>
      </w:pPr>
      <w:r>
        <w:t>3. Business Entity Inventory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tblHeader w:val="true"/>
        </w:trPr>
        <w:tc>
          <w:tcPr>
            <w:tcW w:type="dxa" w:w="3496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Business Entity</w:t>
            </w:r>
          </w:p>
        </w:tc>
        <w:tc>
          <w:tcPr>
            <w:tcW w:type="dxa" w:w="3496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責任</w:t>
            </w:r>
          </w:p>
        </w:tc>
        <w:tc>
          <w:tcPr>
            <w:tcW w:type="dxa" w:w="3496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Owner Boundary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ProviderModelProfile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Provider + Model + Adapter + Capability 的可執行設定版本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Profile owner / AI API runtime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CredentialReference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Profile 的 Secret Reference 與 Credential Status；不含明文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Existing secret owner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GovernedCapabilityResource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Capability / Policy / Enable 狀態與審批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Governance owner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ProviderCandidateGroup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可排序的候選 Profile 集合與 Route Limits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AI API route config owner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RoutePreflight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一次 Route 可行性檢查結果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Route runtime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SandboxTest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隔離的非 Production Provider 測試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AI API command runtime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RouteDecision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實際選擇 Profile、理由、constraint result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Route runtime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QuarantineRecord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被隔離 Provider/Profile 與恢復原因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AI API runtime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ProviderJobAttempt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Job / Attempt / Callback / Artifact / Error lineage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Job/Queue runtime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CostBudgetIncident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估算/實際成本、Budget、Degradation、Incident、Fallback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Operations projection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InstructionCompileAudit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Canonical Instruction → profile/template/adapter compile lineage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Instruction compiler</w:t>
            </w:r>
          </w:p>
        </w:tc>
      </w:tr>
    </w:tbl>
    <w:p>
      <w:pPr>
        <w:spacing w:after="20"/>
      </w:pPr>
    </w:p>
    <w:p>
      <w:pPr>
        <w:pStyle w:val="Heading1"/>
        <w:spacing w:before="100" w:after="40"/>
      </w:pPr>
      <w:r>
        <w:t>4. Business Entity × Applicable Operation Matrix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  <w:gridCol w:w="953"/>
      </w:tblGrid>
      <w:tr>
        <w:trPr>
          <w:tblHeader w:val="true"/>
        </w:trPr>
        <w:tc>
          <w:tcPr>
            <w:tcW w:type="dxa" w:w="953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Entity</w:t>
            </w:r>
          </w:p>
        </w:tc>
        <w:tc>
          <w:tcPr>
            <w:tcW w:type="dxa" w:w="953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List</w:t>
            </w:r>
          </w:p>
        </w:tc>
        <w:tc>
          <w:tcPr>
            <w:tcW w:type="dxa" w:w="953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Open</w:t>
            </w:r>
          </w:p>
        </w:tc>
        <w:tc>
          <w:tcPr>
            <w:tcW w:type="dxa" w:w="953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Create/Run</w:t>
            </w:r>
          </w:p>
        </w:tc>
        <w:tc>
          <w:tcPr>
            <w:tcW w:type="dxa" w:w="953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Edit/Action</w:t>
            </w:r>
          </w:p>
        </w:tc>
        <w:tc>
          <w:tcPr>
            <w:tcW w:type="dxa" w:w="953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Validate</w:t>
            </w:r>
          </w:p>
        </w:tc>
        <w:tc>
          <w:tcPr>
            <w:tcW w:type="dxa" w:w="953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Approve</w:t>
            </w:r>
          </w:p>
        </w:tc>
        <w:tc>
          <w:tcPr>
            <w:tcW w:type="dxa" w:w="953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Version</w:t>
            </w:r>
          </w:p>
        </w:tc>
        <w:tc>
          <w:tcPr>
            <w:tcW w:type="dxa" w:w="953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Audit</w:t>
            </w:r>
          </w:p>
        </w:tc>
        <w:tc>
          <w:tcPr>
            <w:tcW w:type="dxa" w:w="953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Retire/Delete</w:t>
            </w:r>
          </w:p>
        </w:tc>
        <w:tc>
          <w:tcPr>
            <w:tcW w:type="dxa" w:w="953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3"/>
              </w:rPr>
              <w:t>Recovery</w:t>
            </w:r>
          </w:p>
        </w:tc>
      </w:tr>
      <w:tr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ProviderModelProfile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Retire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</w:tr>
      <w:tr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CredentialReference</w:t>
            </w:r>
          </w:p>
        </w:tc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—</w:t>
            </w:r>
          </w:p>
        </w:tc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Set/Delete</w:t>
            </w:r>
          </w:p>
        </w:tc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—</w:t>
            </w:r>
          </w:p>
        </w:tc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—</w:t>
            </w:r>
          </w:p>
        </w:tc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Delete</w:t>
            </w:r>
          </w:p>
        </w:tc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</w:tr>
      <w:tr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GovernedCapabilityResource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—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Configure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Approve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Disable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</w:tr>
      <w:tr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ProviderCandidateGroup</w:t>
            </w:r>
          </w:p>
        </w:tc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Create</w:t>
            </w:r>
          </w:p>
        </w:tc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Bounded</w:t>
            </w:r>
          </w:p>
        </w:tc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—</w:t>
            </w:r>
          </w:p>
        </w:tc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—</w:t>
            </w:r>
          </w:p>
        </w:tc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</w:tr>
      <w:tr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RoutePreflight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—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—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—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—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</w:tr>
      <w:tr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SandboxTest</w:t>
            </w:r>
          </w:p>
        </w:tc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Run</w:t>
            </w:r>
          </w:p>
        </w:tc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—</w:t>
            </w:r>
          </w:p>
        </w:tc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—</w:t>
            </w:r>
          </w:p>
        </w:tc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—</w:t>
            </w:r>
          </w:p>
        </w:tc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</w:tr>
      <w:tr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RouteDecision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Execute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—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—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—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</w:tr>
      <w:tr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QuarantineRecord</w:t>
            </w:r>
          </w:p>
        </w:tc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—</w:t>
            </w:r>
          </w:p>
        </w:tc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Restore</w:t>
            </w:r>
          </w:p>
        </w:tc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Confirm</w:t>
            </w:r>
          </w:p>
        </w:tc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—</w:t>
            </w:r>
          </w:p>
        </w:tc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</w:tr>
      <w:tr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ProviderJobAttempt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Runtime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Runtime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—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—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</w:tr>
      <w:tr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CostBudgetIncident</w:t>
            </w:r>
          </w:p>
        </w:tc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Runtime</w:t>
            </w:r>
          </w:p>
        </w:tc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Governed</w:t>
            </w:r>
          </w:p>
        </w:tc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High-risk</w:t>
            </w:r>
          </w:p>
        </w:tc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—</w:t>
            </w:r>
          </w:p>
        </w:tc>
        <w:tc>
          <w:tcPr>
            <w:tcW w:type="dxa" w:w="953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</w:tr>
      <w:tr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InstructionCompileAudit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Runtime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Profile-only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—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—</w:t>
            </w:r>
          </w:p>
        </w:tc>
        <w:tc>
          <w:tcPr>
            <w:tcW w:type="dxa" w:w="953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3"/>
              </w:rPr>
              <w:t>R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Noto Sans CJK TC" w:hAnsi="Noto Sans CJK TC" w:eastAsia="Noto Sans CJK TC"/>
          <w:b w:val="0"/>
          <w:color w:val="5C6078"/>
          <w:sz w:val="15"/>
        </w:rPr>
        <w:t>註：R = REQUIRED。Bounded 表示只有在已存在 Operation/Payload 的範圍內完成；沒有註冊 Post-create member mutation 時，不因 UI 對稱性自造 API。</w:t>
      </w:r>
    </w:p>
    <w:p>
      <w:pPr>
        <w:pStyle w:val="Heading1"/>
        <w:spacing w:before="100" w:after="40"/>
      </w:pPr>
      <w:r>
        <w:t>5. Entity Hierarchy / Lineage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tblHeader w:val="true"/>
        </w:trPr>
        <w:tc>
          <w:tcPr>
            <w:tcW w:type="dxa" w:w="3496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上游</w:t>
            </w:r>
          </w:p>
        </w:tc>
        <w:tc>
          <w:tcPr>
            <w:tcW w:type="dxa" w:w="3496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關聯</w:t>
            </w:r>
          </w:p>
        </w:tc>
        <w:tc>
          <w:tcPr>
            <w:tcW w:type="dxa" w:w="3496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下游 / 規則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ProviderModelProfile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1 → 0..1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CredentialReference；Secret 只以 Reference/Status 連結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ProviderModelProfile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N ↔ N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GovernedCapabilityResource；Route 需 exact capability match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ProviderCandidateGroup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1 → N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Ordered Profile refs；不可用 latest/default alias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Canonical Instruction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1 → N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CompileAudit；每個 target profile 必須重新 compile，禁止跨 Provider 重用 compiled prompt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RoutePreflight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1 → 0..1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RouteDecision；硬 Gate 未過不得 execute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RouteDecision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1 → N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ProviderJobAttempt；retry 形成獨立 Attempt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ProviderJobAttempt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1 → 0..N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Callback / Artifact / Cost；Callback 未驗證不得成功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QuarantineRecord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N → 1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Provider/Profile；Restore 需 reason + audit</w:t>
            </w:r>
          </w:p>
        </w:tc>
      </w:tr>
    </w:tbl>
    <w:p>
      <w:pPr>
        <w:spacing w:after="20"/>
      </w:pPr>
    </w:p>
    <w:p>
      <w:pPr>
        <w:pStyle w:val="Heading1"/>
        <w:spacing w:before="100" w:after="40"/>
      </w:pPr>
      <w:r>
        <w:t>6. Functional Admission &amp; Bounded Completion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tblHeader w:val="true"/>
        </w:trPr>
        <w:tc>
          <w:tcPr>
            <w:tcW w:type="dxa" w:w="3496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候選功能</w:t>
            </w:r>
          </w:p>
        </w:tc>
        <w:tc>
          <w:tcPr>
            <w:tcW w:type="dxa" w:w="3496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裁決</w:t>
            </w:r>
          </w:p>
        </w:tc>
        <w:tc>
          <w:tcPr>
            <w:tcW w:type="dxa" w:w="3496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設計處理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Queue Readiness / Probe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ADMIT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既有 Queue Probe Operation 已存在；放在 Routing/Operations 的次要診斷，不成為新 Queue 管理系統。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Candidate Group post-create member CRUD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BLOCK UNTIL EXACT OP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Current UI 可在 Create payload 內設定 ordered members / limits；若無正式 update member operation，不放獨立 Edit/Delete member action。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Provider / Model Picker in department pages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REJECT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由 AIAPI Route Policy 自動解析；部門工作頁不得繞過。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API Key Reveal / Eye button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REJECT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Credential write-only；只顯示 SET / NOT_SET / ROTATION_DUE / ERROR。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Frontend Route Override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REJECT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Route Decision 為 Runtime owner；前端只顯示 constraint / reason。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Cost chart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CONDITIONAL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只有後端存在 governed projection 才顯示；表格永遠是 canonical。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Manual health green override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REJECT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Health 為真實投影，不接受 UI 假綠燈。</w:t>
            </w:r>
          </w:p>
        </w:tc>
      </w:tr>
    </w:tbl>
    <w:p>
      <w:pPr>
        <w:spacing w:after="20"/>
      </w:pPr>
    </w:p>
    <w:p>
      <w:pPr>
        <w:pStyle w:val="Heading1"/>
        <w:spacing w:before="100" w:after="40"/>
      </w:pPr>
      <w:r>
        <w:t>7. Functional Workbench &amp; Interaction Topology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488"/>
            <w:shd w:fill="EEE9FF"/>
            <w:tcBorders>
              <w:top w:val="single" w:sz="6" w:color="B7A7EF"/>
              <w:left w:val="single" w:sz="6" w:color="B7A7EF"/>
              <w:bottom w:val="single" w:sz="6" w:color="B7A7EF"/>
              <w:right w:val="single" w:sz="6" w:color="B7A7EF"/>
              <w:insideH w:val="single" w:sz="6" w:color="B7A7EF"/>
              <w:insideV w:val="single" w:sz="6" w:color="B7A7EF"/>
            </w:tcBorders>
          </w:tcPr>
          <w:p>
            <w:pPr>
              <w:spacing w:after="20"/>
            </w:pPr>
            <w:r>
              <w:rPr>
                <w:rFonts w:ascii="Noto Sans CJK TC" w:hAnsi="Noto Sans CJK TC" w:eastAsia="Noto Sans CJK TC"/>
                <w:b/>
                <w:color w:val="5840A0"/>
                <w:sz w:val="16"/>
              </w:rPr>
              <w:t>Atomic Workbench｜</w:t>
            </w:r>
            <w:r>
              <w:rPr>
                <w:rFonts w:ascii="Noto Sans CJK TC" w:hAnsi="Noto Sans CJK TC" w:eastAsia="Noto Sans CJK TC"/>
                <w:sz w:val="16"/>
              </w:rPr>
              <w:t>Provider / API 設定採 68% Profile Table + 32% Professional Description；選取 Profile 後保持同一 Context。Edit/Test/Credential 使用 Modal/Drawer，不把主要工作流切碎。</w:t>
            </w:r>
          </w:p>
        </w:tc>
        <w:trPr>
          <w:tblHeader/>
        </w:trPr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tblHeader w:val="true"/>
        </w:trPr>
        <w:tc>
          <w:tcPr>
            <w:tcW w:type="dxa" w:w="3496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工作序列</w:t>
            </w:r>
          </w:p>
        </w:tc>
        <w:tc>
          <w:tcPr>
            <w:tcW w:type="dxa" w:w="3496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Topology</w:t>
            </w:r>
          </w:p>
        </w:tc>
        <w:tc>
          <w:tcPr>
            <w:tcW w:type="dxa" w:w="3496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理由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Profile List → Select → Professional Description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ATOMIC_WORKBENCH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同一 Provider/Profile Context；不能跳頁失去 selection。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Create/Edit Profile → Test → Credential Status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SAME_SURFACE_CLUSTER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Effectful Modal 結束後回到同一選取列。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Candidate Group → Preflight → Compile Audit → Sandbox → Route Decision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ATOMIC_WORKBENCH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同一 route basis；任何一步換 context 都可能造成錯誤 Provider 決策。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Job/Attempt → Callback/Artifact/Cost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SAME_SURFACE_CLUSTER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操作監控需保留 exact job/attempt lineage。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Audit / full error / docs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INDEPENDENT_SUPPORT_PANEL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低頻細節放 Drawer，避免干擾主工作流。</w:t>
            </w:r>
          </w:p>
        </w:tc>
      </w:tr>
    </w:tbl>
    <w:p>
      <w:pPr>
        <w:spacing w:after="20"/>
      </w:pPr>
    </w:p>
    <w:p>
      <w:pPr>
        <w:pStyle w:val="Heading1"/>
        <w:spacing w:before="100" w:after="40"/>
      </w:pPr>
      <w:r>
        <w:t>8. Four-View Information Architecture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tblHeader w:val="true"/>
        </w:trPr>
        <w:tc>
          <w:tcPr>
            <w:tcW w:type="dxa" w:w="3496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View</w:t>
            </w:r>
          </w:p>
        </w:tc>
        <w:tc>
          <w:tcPr>
            <w:tcW w:type="dxa" w:w="3496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主要內容</w:t>
            </w:r>
          </w:p>
        </w:tc>
        <w:tc>
          <w:tcPr>
            <w:tcW w:type="dxa" w:w="3496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Primary CTA 規則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總覽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Provider / Route / Capability / Job / Cost / Health / Incident 摘要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沒有假 KPI；若無 governed projection 就用狀態表。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Provider / API 設定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Profile table、Professional Description、Credential、Capability、Test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每一 Context 最多一個 Primary CTA；其他為 row action / secondary。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路由 / 測試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Candidate Group、Preflight、Compile Audit、Sandbox、Route Simulation、Quarantine、Queue Probe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Route Execute 只有硬 Gate 全部 PASS 才可用。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作業 / 成本 / 事件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Job、Attempt、Callback、Artifact、Cost、Budget、Degradation、Incident、Fallback、Kill Switch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Kill Switch 永遠條件式高風險，不是常駐 Primary。</w:t>
            </w:r>
          </w:p>
        </w:tc>
      </w:tr>
    </w:tbl>
    <w:p>
      <w:pPr>
        <w:spacing w:after="20"/>
      </w:pPr>
    </w:p>
    <w:p>
      <w:pPr>
        <w:pStyle w:val="Heading1"/>
        <w:spacing w:before="100" w:after="40"/>
      </w:pPr>
      <w:r>
        <w:t>9. Page Geometry / Responsive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tblHeader w:val="true"/>
        </w:trPr>
        <w:tc>
          <w:tcPr>
            <w:tcW w:type="dxa" w:w="3496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區域</w:t>
            </w:r>
          </w:p>
        </w:tc>
        <w:tc>
          <w:tcPr>
            <w:tcW w:type="dxa" w:w="3496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Desktop Geometry</w:t>
            </w:r>
          </w:p>
        </w:tc>
        <w:tc>
          <w:tcPr>
            <w:tcW w:type="dxa" w:w="3496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Responsive / Overflow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Global Header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全寬，約 58px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繼承 Global；本頁不重畫。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Collapsed Sidebar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約 64px icon rail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Expanded sidebar overlay；不得壓縮主 Workspace。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Page Context / Tabs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56px context + 52px secondary tab row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Tab 可橫向捲動但不另建 mobile page。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Provider View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Main 68% / Professional Panel 32%，gap 16px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窄寬時先保持 table 主體，右欄下沉為 drawer/stack。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Routing / Operations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Main route workbench + 28~32% operations rail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低頻 detail 轉 drawer。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Detail Drawer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480–560px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不能遮住主要 CTA；Esc / Focus trap / Return focus 必須成立。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Control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40px，touch target ≥44px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不得為塞欄位縮到不可用。</w:t>
            </w:r>
          </w:p>
        </w:tc>
      </w:tr>
    </w:tbl>
    <w:p>
      <w:pPr>
        <w:spacing w:after="20"/>
      </w:pPr>
    </w:p>
    <w:p>
      <w:pPr>
        <w:pStyle w:val="Heading1"/>
        <w:spacing w:before="100" w:after="40"/>
      </w:pPr>
      <w:r>
        <w:t>10. Canonical Section Specification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tblHeader w:val="true"/>
        </w:trPr>
        <w:tc>
          <w:tcPr>
            <w:tcW w:type="dxa" w:w="3496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Section UID</w:t>
            </w:r>
          </w:p>
        </w:tc>
        <w:tc>
          <w:tcPr>
            <w:tcW w:type="dxa" w:w="3496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名稱</w:t>
            </w:r>
          </w:p>
        </w:tc>
        <w:tc>
          <w:tcPr>
            <w:tcW w:type="dxa" w:w="3496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責任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AIAPI-01-SEC-01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Page Context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Page title / current view / selected provider-profile / current blockers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AIAPI-01-SEC-02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View Navigator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4 same-page tabs; preserve selection/query/draft state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AIAPI-01-SEC-03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Overview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Real summary only; no fake charts/counters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AIAPI-01-SEC-04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Provider &amp; Model Profiles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Search/table/profile CRUD/test/retire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AIAPI-01-SEC-05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Professional Description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Read-only decision support from registered metadata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AIAPI-01-SEC-06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Credential &amp; Capability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Write-only credential + governed capability/config/approval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AIAPI-01-SEC-07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Routing &amp; Test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Candidate group/preflight/compile audit/sandbox/route/quarantine/queue probe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AIAPI-01-SEC-08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Operations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Job/attempt/callback/artifact/cost/budget/degradation/incident/fallback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AIAPI-01-SEC-09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Governance Rail / Detail Drawer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Blocker/readiness/audit/docs/error/version/correlation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AIAPI-01-SEC-10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Action Dock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Current-context legal actions only; max one dominant CTA</w:t>
            </w:r>
          </w:p>
        </w:tc>
      </w:tr>
    </w:tbl>
    <w:p>
      <w:pPr>
        <w:spacing w:after="20"/>
      </w:pPr>
    </w:p>
    <w:p>
      <w:pPr>
        <w:pStyle w:val="Heading1"/>
        <w:spacing w:before="100" w:after="40"/>
      </w:pPr>
      <w:r>
        <w:t>11. Component / Field Registry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tblHeader w:val="true"/>
        </w:trPr>
        <w:tc>
          <w:tcPr>
            <w:tcW w:type="dxa" w:w="3496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Component</w:t>
            </w:r>
          </w:p>
        </w:tc>
        <w:tc>
          <w:tcPr>
            <w:tcW w:type="dxa" w:w="3496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Key Fields / Content</w:t>
            </w:r>
          </w:p>
        </w:tc>
        <w:tc>
          <w:tcPr>
            <w:tcW w:type="dxa" w:w="3496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Behavior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Profile Search/Table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Provider, Model, Capability, Adapter, Endpoint, Enabled, Credential Status, Last Test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Sticky header; long values ellipsis + drawer; row actions explicit.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Profile Form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Identity / Connection / Adapter / Capability / Data-Context / Status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Schema-driven Modal; prompt_template 必須保留 canonical instruction placeholder。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Professional Description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Identity, Positioning, ACPOS Scope, Capabilities, I/O, Limits, Endpoint/Auth, Billing, Health/Test, Restrictions, Docs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Read-only；unknown = —；不能編輯說明文字改 runtime。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Credential Modal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profile ref + credential input / delete reason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Write-only；never prefill / reveal.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Route Workbench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Candidate Group, use_case, required capabilities, context size, classification, rights, refs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Preserve same route basis; no frontend override.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Compile Audit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Instruction package, script ref, compiler version, route constraints, adapter diff, prompt template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Exact version lineage; provider-specific syntax不得改 canonical meaning。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Operations Table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Job, Attempt, Callback, Artifact, Cost, Error, Incident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Read projections; retry preserves independent attempt.</w:t>
            </w:r>
          </w:p>
        </w:tc>
      </w:tr>
    </w:tbl>
    <w:p>
      <w:pPr>
        <w:spacing w:after="20"/>
      </w:pPr>
    </w:p>
    <w:p>
      <w:pPr>
        <w:pStyle w:val="Heading1"/>
        <w:spacing w:before="100" w:after="40"/>
      </w:pPr>
      <w:r>
        <w:t>12. Core Control Registry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tblHeader w:val="true"/>
        </w:trPr>
        <w:tc>
          <w:tcPr>
            <w:tcW w:type="dxa" w:w="3496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Control</w:t>
            </w:r>
          </w:p>
        </w:tc>
        <w:tc>
          <w:tcPr>
            <w:tcW w:type="dxa" w:w="3496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Operation</w:t>
            </w:r>
          </w:p>
        </w:tc>
        <w:tc>
          <w:tcPr>
            <w:tcW w:type="dxa" w:w="3496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Gate / UX Rule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新增 Provider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createProviderModelProfile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Effectful Modal；schema/gate/permission required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編輯 Profile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updateProviderModelProfile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Expected version + audit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查看 Profile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getProviderModelProfile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Drawer / read-only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連線測試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testProviderModelProfile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Secret ref + adapter required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退役 Profile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retireProviderModelProfile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State guarded; never hard delete runtime history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設定 API 金鑰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setProviderModelCredential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Write-only; secret env/reference owner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刪除 API 金鑰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deleteProviderModelCredential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Reason/confirmation; no old value in response/log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設定 Capability/Policy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configureGovernedResource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Exact governed resource ref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核准 Capability/Policy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approveGovernedResource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Version + rationale + audit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建立 Candidate Group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createProviderCandidateGroup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Group + ordered member refs + limits only by exact schema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Sandbox 測試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runSandboxTest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Production secret/output forbidden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執行 Route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executeProviderRoute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All hard gates + queue + approved capability/profile/secret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查看 Route Decision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getProviderRouteDecision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Read-only exact decision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查看 Quarantine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getProviderQuarantine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Read-only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Restore Quarantine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restoreProviderFromQuarantine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Reason + audit; bypass forbidden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Queue Probe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runProviderQueueProbe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Diagnostic only; no provider external call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Kill Switch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setKillSwitch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High-risk confirmation + reason + audit</w:t>
            </w:r>
          </w:p>
        </w:tc>
      </w:tr>
    </w:tbl>
    <w:p>
      <w:pPr>
        <w:spacing w:after="20"/>
      </w:pPr>
    </w:p>
    <w:p>
      <w:pPr>
        <w:pStyle w:val="Heading1"/>
        <w:spacing w:before="100" w:after="40"/>
      </w:pPr>
      <w:r>
        <w:t>13. Provider Profile Field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tblHeader w:val="true"/>
        </w:trPr>
        <w:tc>
          <w:tcPr>
            <w:tcW w:type="dxa" w:w="3496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Field Group</w:t>
            </w:r>
          </w:p>
        </w:tc>
        <w:tc>
          <w:tcPr>
            <w:tcW w:type="dxa" w:w="3496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Fields</w:t>
            </w:r>
          </w:p>
        </w:tc>
        <w:tc>
          <w:tcPr>
            <w:tcW w:type="dxa" w:w="3496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Validation / Constraint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Identity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provider_id, provider_name, model_id, model_name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Canonical profile identity；不得由 frontend 猜 alias。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Connection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base_url, endpoint_path, http_method, timeout_seconds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Endpoint guessing forbidden；method/path 依正式 profile。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Adapter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adapter_type, request_template, response_text_path, prompt_template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只允許已存在 adapter type；prompt_template 保留 canonical_instruction token。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Capability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capability_type, additional_capabilities, supports_references, rights_compatible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Route 需 exact capability match；silent downgrade forbidden。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Data / Context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data_classifications, preferred_language, max_context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Data classification hard gate；不得跨 domain 猜值。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Status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enabled, profile version, health/test evidence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Enable 受 capability/policy/server gate；Health 不可手動改綠。</w:t>
            </w:r>
          </w:p>
        </w:tc>
      </w:tr>
    </w:tbl>
    <w:p>
      <w:pPr>
        <w:spacing w:after="20"/>
      </w:pPr>
    </w:p>
    <w:p>
      <w:pPr>
        <w:pStyle w:val="Heading1"/>
        <w:spacing w:before="100" w:after="40"/>
      </w:pPr>
      <w:r>
        <w:t>14. Credential / Secret Security Contract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488"/>
            <w:shd w:fill="E9F7F1"/>
            <w:tcBorders>
              <w:top w:val="single" w:sz="6" w:color="B7A7EF"/>
              <w:left w:val="single" w:sz="6" w:color="B7A7EF"/>
              <w:bottom w:val="single" w:sz="6" w:color="B7A7EF"/>
              <w:right w:val="single" w:sz="6" w:color="B7A7EF"/>
              <w:insideH w:val="single" w:sz="6" w:color="B7A7EF"/>
              <w:insideV w:val="single" w:sz="6" w:color="B7A7EF"/>
            </w:tcBorders>
          </w:tcPr>
          <w:p>
            <w:pPr>
              <w:spacing w:after="20"/>
            </w:pPr>
            <w:r>
              <w:rPr>
                <w:rFonts w:ascii="Noto Sans CJK TC" w:hAnsi="Noto Sans CJK TC" w:eastAsia="Noto Sans CJK TC"/>
                <w:b/>
                <w:color w:val="5840A0"/>
                <w:sz w:val="16"/>
              </w:rPr>
              <w:t>Secret Boundary｜</w:t>
            </w:r>
            <w:r>
              <w:rPr>
                <w:rFonts w:ascii="Noto Sans CJK TC" w:hAnsi="Noto Sans CJK TC" w:eastAsia="Noto Sans CJK TC"/>
                <w:sz w:val="16"/>
              </w:rPr>
              <w:t>API Key / Token 只可在 Credential write action 的 input buffer 短暫存在；成功後 UI 只保留 credential status / reference / version，不可再顯示明文。</w:t>
            </w:r>
          </w:p>
        </w:tc>
        <w:trPr>
          <w:tblHeader/>
        </w:trPr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tblHeader w:val="true"/>
        </w:trPr>
        <w:tc>
          <w:tcPr>
            <w:tcW w:type="dxa" w:w="5244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禁止</w:t>
            </w:r>
          </w:p>
        </w:tc>
        <w:tc>
          <w:tcPr>
            <w:tcW w:type="dxa" w:w="5244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必須</w:t>
            </w:r>
          </w:p>
        </w:tc>
      </w:tr>
      <w:tr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Eye / Reveal Button</w:t>
            </w:r>
          </w:p>
        </w:tc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只顯示 SET / NOT_SET / ROTATION_DUE / ERROR 等正式狀態</w:t>
            </w:r>
          </w:p>
        </w:tc>
      </w:tr>
      <w:tr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Plaintext Export</w:t>
            </w:r>
          </w:p>
        </w:tc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Export projection 必須排除 credential plaintext</w:t>
            </w:r>
          </w:p>
        </w:tc>
      </w:tr>
      <w:tr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Plaintext Log / Audit</w:t>
            </w:r>
          </w:p>
        </w:tc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Error payload 必須 redacted；不得包含 header/body secret</w:t>
            </w:r>
          </w:p>
        </w:tc>
      </w:tr>
      <w:tr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Plaintext DB Persistence</w:t>
            </w:r>
          </w:p>
        </w:tc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只由既有 secret reference owner 保存 reference</w:t>
            </w:r>
          </w:p>
        </w:tc>
      </w:tr>
      <w:tr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Production Secret in Sandbox</w:t>
            </w:r>
          </w:p>
        </w:tc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5"/>
              </w:rPr>
              <w:t>Sandbox 使用隔離 credential/context；Production secret use = FORBIDDEN</w:t>
            </w:r>
          </w:p>
        </w:tc>
      </w:tr>
    </w:tbl>
    <w:p>
      <w:pPr>
        <w:spacing w:after="20"/>
      </w:pPr>
    </w:p>
    <w:p>
      <w:pPr>
        <w:pStyle w:val="Heading1"/>
        <w:spacing w:before="100" w:after="40"/>
      </w:pPr>
      <w:r>
        <w:t>15. Routing Gate &amp; Canonical Instruction Continuity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tblHeader w:val="true"/>
        </w:trPr>
        <w:tc>
          <w:tcPr>
            <w:tcW w:type="dxa" w:w="3496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順序</w:t>
            </w:r>
          </w:p>
        </w:tc>
        <w:tc>
          <w:tcPr>
            <w:tcW w:type="dxa" w:w="3496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Gate</w:t>
            </w:r>
          </w:p>
        </w:tc>
        <w:tc>
          <w:tcPr>
            <w:tcW w:type="dxa" w:w="3496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失敗行為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1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Required capability exact match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BLOCK；不得以較弱 capability silent downgrade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2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Reference-media support when required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BLOCK 或移除不合法 profile；不改任務需求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3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Rights compatibility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BLOCK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4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Data classification compatibility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BLOCK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5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Profile enabled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BLOCK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6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Health / Test policy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BLOCK / Degraded route policy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7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Budget / Cost / policy gate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按正式 policy；不得為省成本改 Task Contract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8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Queue / runtime readiness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未 ready 不執行外部 Provider</w:t>
            </w:r>
          </w:p>
        </w:tc>
      </w:tr>
    </w:tbl>
    <w:p>
      <w:pPr>
        <w:spacing w:after="20"/>
      </w:pPr>
    </w:p>
    <w:p>
      <w:pPr>
        <w:spacing w:after="40"/>
      </w:pPr>
      <w:r>
        <w:rPr>
          <w:rFonts w:ascii="Noto Sans CJK TC" w:hAnsi="Noto Sans CJK TC" w:eastAsia="Noto Sans CJK TC"/>
          <w:b/>
          <w:color w:val="4D349D"/>
          <w:sz w:val="16"/>
        </w:rPr>
        <w:t>Fallback 必須使用同一份 Canonical Instruction 重新為目標 Provider/Profile compile；不得重用另一 Provider 的 compiled prompt。</w:t>
      </w:r>
    </w:p>
    <w:p>
      <w:pPr>
        <w:pStyle w:val="Heading1"/>
        <w:spacing w:before="100" w:after="40"/>
      </w:pPr>
      <w:r>
        <w:t>16. Route / Sandbox / Quarantine Flow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tblHeader w:val="true"/>
        </w:trPr>
        <w:tc>
          <w:tcPr>
            <w:tcW w:type="dxa" w:w="3496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階段</w:t>
            </w:r>
          </w:p>
        </w:tc>
        <w:tc>
          <w:tcPr>
            <w:tcW w:type="dxa" w:w="3496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Input / Output</w:t>
            </w:r>
          </w:p>
        </w:tc>
        <w:tc>
          <w:tcPr>
            <w:tcW w:type="dxa" w:w="3496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核心規則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Candidate Group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Eligible profile refs + ordered priority + registered limits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只包含已註冊 profile；post-create mutation 無 exact op 時不顯示。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Preflight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use_case / capability / context / data / rights / refs → eligibility result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只驗證可路由性；不得產生 Provider 成功假象。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Compile Audit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Canonical Instruction → Prompt Template / Adapter Request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保留 source hash / compiler / profile version / compiled hash。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Sandbox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Isolated payload → test result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Production secret use/output write forbidden。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Route Execute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Validated route request → Route Decision + Job lineage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Frontend route override forbidden。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Quarantine / Restore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Quarantine state → audited restore request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Restore requires reason；不繞過 health/policy gates。</w:t>
            </w:r>
          </w:p>
        </w:tc>
      </w:tr>
    </w:tbl>
    <w:p>
      <w:pPr>
        <w:spacing w:after="20"/>
      </w:pPr>
    </w:p>
    <w:p>
      <w:pPr>
        <w:pStyle w:val="Heading1"/>
        <w:spacing w:before="100" w:after="40"/>
      </w:pPr>
      <w:r>
        <w:t>17. Job / Attempt / Callback / Artifact / Cost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tblHeader w:val="true"/>
        </w:trPr>
        <w:tc>
          <w:tcPr>
            <w:tcW w:type="dxa" w:w="3496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Entity</w:t>
            </w:r>
          </w:p>
        </w:tc>
        <w:tc>
          <w:tcPr>
            <w:tcW w:type="dxa" w:w="3496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必要欄位</w:t>
            </w:r>
          </w:p>
        </w:tc>
        <w:tc>
          <w:tcPr>
            <w:tcW w:type="dxa" w:w="3496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Truth Rule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Job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job_id, capability, profile, status, created, finished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Frontend 不可寫 status。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Attempt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attempt_id, provider, model, external_ref, retry, error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每次 retry 是獨立 attempt，不覆蓋舊證據。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Callback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callback_status, verification, received_at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未驗證 callback 不得標 SUCCESS。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Artifact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artifact_ref, version, provider_output_ref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不得 silent overwrite 既有 asset/version。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Cost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estimated_cost, actual_cost, currency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Finance 未授權 → MASK / DENY；缺值不是 0。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Incident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severity, provider/model impact, status, correlation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必須可從 UI 追到 exact job/attempt/route context。</w:t>
            </w:r>
          </w:p>
        </w:tc>
      </w:tr>
    </w:tbl>
    <w:p>
      <w:pPr>
        <w:spacing w:after="20"/>
      </w:pPr>
    </w:p>
    <w:p>
      <w:pPr>
        <w:pStyle w:val="Heading1"/>
        <w:spacing w:before="100" w:after="40"/>
      </w:pPr>
      <w:r>
        <w:t>18. Functional Chain Contracts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tblHeader w:val="true"/>
        </w:trPr>
        <w:tc>
          <w:tcPr>
            <w:tcW w:type="dxa" w:w="5244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Function</w:t>
            </w:r>
          </w:p>
        </w:tc>
        <w:tc>
          <w:tcPr>
            <w:tcW w:type="dxa" w:w="5244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Complete Chain</w:t>
            </w:r>
          </w:p>
        </w:tc>
      </w:tr>
      <w:tr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Create / Update Profile</w:t>
            </w:r>
          </w:p>
        </w:tc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Intent → Profile Form → Permission/Gate → Registered Operation → AI API Command Runtime → Profile persistence → Audit → Updated row + Professional Panel → Test next step → error/version recovery</w:t>
            </w:r>
          </w:p>
        </w:tc>
      </w:tr>
      <w:tr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Set Credential</w:t>
            </w:r>
          </w:p>
        </w:tc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Intent → Credential Modal → Permission → Write-only input → Secret owner → reference/status return → audit without plaintext → profile readiness update</w:t>
            </w:r>
          </w:p>
        </w:tc>
      </w:tr>
      <w:tr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Test Provider</w:t>
            </w:r>
          </w:p>
        </w:tc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Selected exact profile → capability/secret/adapter gate → test operation → provider adapter → test evidence → health/readiness update → failure code/recovery</w:t>
            </w:r>
          </w:p>
        </w:tc>
      </w:tr>
      <w:tr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Execute Route</w:t>
            </w:r>
          </w:p>
        </w:tc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Canonical instruction + scoped context → candidate group → hard preflight → compile audit → queue/runtime gate → execute route → route decision → provider attempt → callback/artifact/cost → UI result</w:t>
            </w:r>
          </w:p>
        </w:tc>
      </w:tr>
      <w:tr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Restore Quarantine</w:t>
            </w:r>
          </w:p>
        </w:tc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Quarantine row → reason + confirmation → permission/state gate → restore op → audit → re-enter health/test gates; no direct eligible status assumption</w:t>
            </w:r>
          </w:p>
        </w:tc>
      </w:tr>
      <w:tr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Kill Switch</w:t>
            </w:r>
          </w:p>
        </w:tc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Target/scope → high-risk confirm + reason → permission/state/version/idempotency → setKillSwitch → audit → affected route/profile status refresh</w:t>
            </w:r>
          </w:p>
        </w:tc>
      </w:tr>
    </w:tbl>
    <w:p>
      <w:pPr>
        <w:spacing w:after="20"/>
      </w:pPr>
    </w:p>
    <w:p>
      <w:pPr>
        <w:pStyle w:val="Heading1"/>
        <w:spacing w:before="100" w:after="40"/>
      </w:pPr>
      <w:r>
        <w:t>19. Permission / Runtime / Data Binding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tblHeader w:val="true"/>
        </w:trPr>
        <w:tc>
          <w:tcPr>
            <w:tcW w:type="dxa" w:w="5244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Layer</w:t>
            </w:r>
          </w:p>
        </w:tc>
        <w:tc>
          <w:tcPr>
            <w:tcW w:type="dxa" w:w="5244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Contract</w:t>
            </w:r>
          </w:p>
        </w:tc>
      </w:tr>
      <w:tr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Page Entry</w:t>
            </w:r>
          </w:p>
        </w:tc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Authenticated admin + exact page permission + account assignment + scope/condition. Frontend hide 不是 authorization。</w:t>
            </w:r>
          </w:p>
        </w:tc>
      </w:tr>
      <w:tr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Effectful Control</w:t>
            </w:r>
          </w:p>
        </w:tc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Exact control/action resource mapping + server authorization + state guard + expected version + idempotency + audit。</w:t>
            </w:r>
          </w:p>
        </w:tc>
      </w:tr>
      <w:tr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Profile Persistence</w:t>
            </w:r>
          </w:p>
        </w:tc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Existing AI API provider profile owner only；不新增第二套 registry。</w:t>
            </w:r>
          </w:p>
        </w:tc>
      </w:tr>
      <w:tr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Secret Persistence</w:t>
            </w:r>
          </w:p>
        </w:tc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Existing secret reference owner only；raw credential forbidden。</w:t>
            </w:r>
          </w:p>
        </w:tc>
      </w:tr>
      <w:tr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Route Persistence</w:t>
            </w:r>
          </w:p>
        </w:tc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Preflight / Decision / Attempt 由既有 runtime stores；UI 不自行推導成功。</w:t>
            </w:r>
          </w:p>
        </w:tc>
      </w:tr>
      <w:tr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Queue</w:t>
            </w:r>
          </w:p>
        </w:tc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Existing provider execution queue；Queue Probe 只做可用性診斷且不呼叫外部 Provider。</w:t>
            </w:r>
          </w:p>
        </w:tc>
      </w:tr>
      <w:tr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Cost / Budget</w:t>
            </w:r>
          </w:p>
        </w:tc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Governed projection；無 finance permission 時 mask/deny。</w:t>
            </w:r>
          </w:p>
        </w:tc>
      </w:tr>
    </w:tbl>
    <w:p>
      <w:pPr>
        <w:spacing w:after="20"/>
      </w:pPr>
    </w:p>
    <w:p>
      <w:pPr>
        <w:pStyle w:val="Heading1"/>
        <w:spacing w:before="100" w:after="40"/>
      </w:pPr>
      <w:r>
        <w:t>20. State / Error / Recovery Matrix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tblHeader w:val="true"/>
        </w:trPr>
        <w:tc>
          <w:tcPr>
            <w:tcW w:type="dxa" w:w="3496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State / Error</w:t>
            </w:r>
          </w:p>
        </w:tc>
        <w:tc>
          <w:tcPr>
            <w:tcW w:type="dxa" w:w="3496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UI</w:t>
            </w:r>
          </w:p>
        </w:tc>
        <w:tc>
          <w:tcPr>
            <w:tcW w:type="dxa" w:w="3496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Recovery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LOADING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Skeleton / preserve geometry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Effectful controls disabled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EMPTY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Show empty state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不得塞 sample Provider/Model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POLICY_BLOCKED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Disabled + registered reason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不得新增 Override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VERSION_CONFLICT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Block write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Reload exact profile/resource and retry from fresh state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EXTERNAL_PENDING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Show pending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不得轉成 success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Credential Error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Masked error code/reason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不得回傳 secret/header/body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Capability mismatch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Exclude/block candidate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不得 silent downgrade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Quarantined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Not route eligible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Restore only by exact audited operation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Queue unavailable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Block external route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保留 request context；retry 依正式 runtime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Unverified callback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Non-success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等待/重驗 callback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Partial composite failure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Show per-step result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只重試尚未合法完成的 operation；不得報 COMPLETE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Undefined operation/field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BLOCK + REPORT_AUTHORITY_GAP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不得臨時自造 API</w:t>
            </w:r>
          </w:p>
        </w:tc>
      </w:tr>
    </w:tbl>
    <w:p>
      <w:pPr>
        <w:spacing w:after="20"/>
      </w:pPr>
    </w:p>
    <w:p>
      <w:pPr>
        <w:pStyle w:val="Heading1"/>
        <w:spacing w:before="100" w:after="40"/>
      </w:pPr>
      <w:r>
        <w:t>21. Localization / Accessibility / Interaction States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tblHeader w:val="true"/>
        </w:trPr>
        <w:tc>
          <w:tcPr>
            <w:tcW w:type="dxa" w:w="5244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項目</w:t>
            </w:r>
          </w:p>
        </w:tc>
        <w:tc>
          <w:tcPr>
            <w:tcW w:type="dxa" w:w="5244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規格</w:t>
            </w:r>
          </w:p>
        </w:tc>
      </w:tr>
      <w:tr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Locales</w:t>
            </w:r>
          </w:p>
        </w:tc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zh-TW / zh-CN / en；Provider/Model/Endpoint 原名不翻譯；UI labels 本地化。</w:t>
            </w:r>
          </w:p>
        </w:tc>
      </w:tr>
      <w:tr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Focus</w:t>
            </w:r>
          </w:p>
        </w:tc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Modal/Drawer 開啟後 focus trap；關閉時回到來源 control。</w:t>
            </w:r>
          </w:p>
        </w:tc>
      </w:tr>
      <w:tr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Keyboard</w:t>
            </w:r>
          </w:p>
        </w:tc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Tab order = context → views → search/table → row action → right panel → action dock；Esc 關閉 drawer/modal。</w:t>
            </w:r>
          </w:p>
        </w:tc>
      </w:tr>
      <w:tr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Status</w:t>
            </w:r>
          </w:p>
        </w:tc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顏色 + 文字雙重表示；不能只靠綠/黃/紅。</w:t>
            </w:r>
          </w:p>
        </w:tc>
      </w:tr>
      <w:tr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Table</w:t>
            </w:r>
          </w:p>
        </w:tc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Header row 標記、sticky semantics、長值截斷但 full value 可由 authorized drawer 取得。</w:t>
            </w:r>
          </w:p>
        </w:tc>
      </w:tr>
      <w:tr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Secret</w:t>
            </w:r>
          </w:p>
        </w:tc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輸入欄不得被 screen/read-back 當成可回顯資料；完成後清空。</w:t>
            </w:r>
          </w:p>
        </w:tc>
      </w:tr>
      <w:tr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Disabled Reason</w:t>
            </w:r>
          </w:p>
        </w:tc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State/policy blocked 可顯示原因；permission denied 依政策隱藏/deny。</w:t>
            </w:r>
          </w:p>
        </w:tc>
      </w:tr>
    </w:tbl>
    <w:p>
      <w:pPr>
        <w:spacing w:after="20"/>
      </w:pPr>
    </w:p>
    <w:p>
      <w:pPr>
        <w:pStyle w:val="Heading1"/>
        <w:spacing w:before="100" w:after="40"/>
      </w:pPr>
      <w:r>
        <w:t>22. Visual Anchor / Locked &amp; Editable Regions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tblHeader w:val="true"/>
        </w:trPr>
        <w:tc>
          <w:tcPr>
            <w:tcW w:type="dxa" w:w="3496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Region</w:t>
            </w:r>
          </w:p>
        </w:tc>
        <w:tc>
          <w:tcPr>
            <w:tcW w:type="dxa" w:w="3496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Locked</w:t>
            </w:r>
          </w:p>
        </w:tc>
        <w:tc>
          <w:tcPr>
            <w:tcW w:type="dxa" w:w="3496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可變內容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Global Shell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Header/Sidebar/Brand/visual tokens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僅 current page active state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View Bar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4 views 順序與同頁切換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badge/real blockers 可動態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Provider Workspace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68/32 primary topology、Profile selection continuity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table rows / filter / selected profile / modal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Professional Panel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欄位順序與 read-only 性質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registered metadata / projections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Route Workbench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Candidate→Preflight→Compile→Sandbox→Decision 邏輯順序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actual results / eligibility / reasons</w:t>
            </w:r>
          </w:p>
        </w:tc>
      </w:tr>
      <w:tr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Operations Rail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Job/Cost/Incident canonical table-first</w:t>
            </w:r>
          </w:p>
        </w:tc>
        <w:tc>
          <w:tcPr>
            <w:tcW w:type="dxa" w:w="3496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records / filters / detail drawer</w:t>
            </w:r>
          </w:p>
        </w:tc>
      </w:tr>
      <w:tr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Action Dock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一個 dominant CTA 上限</w:t>
            </w:r>
          </w:p>
        </w:tc>
        <w:tc>
          <w:tcPr>
            <w:tcW w:type="dxa" w:w="3496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依 state/permission 切換合法 actions</w:t>
            </w:r>
          </w:p>
        </w:tc>
      </w:tr>
    </w:tbl>
    <w:p>
      <w:pPr>
        <w:spacing w:after="20"/>
      </w:pPr>
    </w:p>
    <w:p>
      <w:pPr>
        <w:pStyle w:val="Heading1"/>
        <w:spacing w:before="100" w:after="40"/>
      </w:pPr>
      <w:r>
        <w:t>23. Visual Preview — Provider / API 設定</w:t>
      </w:r>
    </w:p>
    <w:p>
      <w:r>
        <w:drawing>
          <wp:inline xmlns:a="http://schemas.openxmlformats.org/drawingml/2006/main" xmlns:pic="http://schemas.openxmlformats.org/drawingml/2006/picture">
            <wp:extent cx="6537960" cy="3677602"/>
            <wp:docPr id="1" name="Picture 1" descr="AIAPI-01 Provider/API 設定工作區設計示意：Profile table、Professional Description、Credential 與 Profile Editor。" title="AIAPI-01 Provider/API 設定工作區設計示意：Profile table、Professional Description、Credential 與 Profile Editor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API01_PROVIDER_API_WORKBENCH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3677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Noto Sans CJK TC" w:hAnsi="Noto Sans CJK TC" w:eastAsia="Noto Sans CJK TC"/>
          <w:b w:val="0"/>
          <w:color w:val="5C6078"/>
          <w:sz w:val="14"/>
        </w:rPr>
        <w:t>設計意圖：選取 Profile 後不離開頁面；右側固定為 read-only 專業說明，Effectful CRUD/Test/Credential 走 Modal/Drawer。示意資料僅用於版面結構，不代表 Production Provider 狀態或價格。</w:t>
      </w:r>
    </w:p>
    <w:p>
      <w:pPr>
        <w:pStyle w:val="Heading1"/>
        <w:spacing w:before="100" w:after="40"/>
      </w:pPr>
      <w:r>
        <w:t>24. Visual Preview — Routing / Operations</w:t>
      </w:r>
    </w:p>
    <w:p>
      <w:r>
        <w:drawing>
          <wp:inline xmlns:a="http://schemas.openxmlformats.org/drawingml/2006/main" xmlns:pic="http://schemas.openxmlformats.org/drawingml/2006/picture">
            <wp:extent cx="6537960" cy="3677602"/>
            <wp:docPr id="2" name="Picture 2" descr="AIAPI-01 路由測試與作業監控設計示意：Candidate Group、Preflight、Compile、Sandbox、Route Decision、Queue、Incident。" title="AIAPI-01 路由測試與作業監控設計示意：Candidate Group、Preflight、Compile、Sandbox、Route Decision、Queue、Incident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API01_ROUTING_OPERATIONS_WORKBENC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3677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Noto Sans CJK TC" w:hAnsi="Noto Sans CJK TC" w:eastAsia="Noto Sans CJK TC"/>
          <w:b w:val="0"/>
          <w:color w:val="5C6078"/>
          <w:sz w:val="14"/>
        </w:rPr>
        <w:t>設計意圖：路由硬條件、Compile lineage、Sandbox 隔離、Quarantine/Queue/Incident 在同一 operational context 下可見；高風險 Restore / Kill Switch 維持條件式顯示。</w:t>
      </w:r>
    </w:p>
    <w:p>
      <w:pPr>
        <w:pStyle w:val="Heading1"/>
        <w:spacing w:before="100" w:after="40"/>
      </w:pPr>
      <w:r>
        <w:t>25. Validation Plan / 7-Pass Closure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tblHeader w:val="true"/>
        </w:trPr>
        <w:tc>
          <w:tcPr>
            <w:tcW w:type="dxa" w:w="5244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Pass</w:t>
            </w:r>
          </w:p>
        </w:tc>
        <w:tc>
          <w:tcPr>
            <w:tcW w:type="dxa" w:w="5244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驗證</w:t>
            </w:r>
          </w:p>
        </w:tc>
      </w:tr>
      <w:tr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1 Authority / Naming</w:t>
            </w:r>
          </w:p>
        </w:tc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Page/Section/Control/Entity/Operation UID 唯一，無平行 AI API Center。</w:t>
            </w:r>
          </w:p>
        </w:tc>
      </w:tr>
      <w:tr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2 Functional Completeness</w:t>
            </w:r>
          </w:p>
        </w:tc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Entity × REQUIRED Operation、完整 functional chain、next state / recovery 無斷鏈。</w:t>
            </w:r>
          </w:p>
        </w:tc>
      </w:tr>
      <w:tr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3 Interaction Topology</w:t>
            </w:r>
          </w:p>
        </w:tc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Provider selection、Route basis、Job lineage 不因換 view/drawer 靜默遺失。</w:t>
            </w:r>
          </w:p>
        </w:tc>
      </w:tr>
      <w:tr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4 Security</w:t>
            </w:r>
          </w:p>
        </w:tc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Credential plaintext 0 leakage；permission/server gate、sandbox secret isolation、callback verification。</w:t>
            </w:r>
          </w:p>
        </w:tc>
      </w:tr>
      <w:tr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5 Runtime Binding</w:t>
            </w:r>
          </w:p>
        </w:tc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所有 effectful control 對應 exact registered operation；Queue Probe/Route/Quarantine/Provider Profile 可追溯。</w:t>
            </w:r>
          </w:p>
        </w:tc>
      </w:tr>
      <w:tr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6 Visual / Responsive</w:t>
            </w:r>
          </w:p>
        </w:tc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1280+ desktop、68/32、drawer、overflow、text capacity、focus、no overlap/clipping。</w:t>
            </w:r>
          </w:p>
        </w:tc>
      </w:tr>
      <w:tr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7 Truth / Regression</w:t>
            </w:r>
          </w:p>
        </w:tc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No fake Provider/Model/Cost/Health；missing=—；legacy multi-page UI 不復活；external provider success only by real evidence。</w:t>
            </w:r>
          </w:p>
        </w:tc>
      </w:tr>
    </w:tbl>
    <w:p>
      <w:pPr>
        <w:spacing w:after="20"/>
      </w:pPr>
    </w:p>
    <w:p>
      <w:pPr>
        <w:pStyle w:val="Heading1"/>
        <w:spacing w:before="100" w:after="40"/>
      </w:pPr>
      <w:r>
        <w:t>26. Acceptance / Design Definition of Done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tblHeader w:val="true"/>
        </w:trPr>
        <w:tc>
          <w:tcPr>
            <w:tcW w:type="dxa" w:w="5244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DoD</w:t>
            </w:r>
          </w:p>
        </w:tc>
        <w:tc>
          <w:tcPr>
            <w:tcW w:type="dxa" w:w="5244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通過條件</w:t>
            </w:r>
          </w:p>
        </w:tc>
      </w:tr>
      <w:tr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Single Current Page</w:t>
            </w:r>
          </w:p>
        </w:tc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只有 admin:AIAPI-01；4 views 都在同一頁。</w:t>
            </w:r>
          </w:p>
        </w:tc>
      </w:tr>
      <w:tr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Provider Profile</w:t>
            </w:r>
          </w:p>
        </w:tc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Create / Update / Get / List / Test / Retire 只走正式 operations。</w:t>
            </w:r>
          </w:p>
        </w:tc>
      </w:tr>
      <w:tr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Credential</w:t>
            </w:r>
          </w:p>
        </w:tc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Set / Delete；raw secret never returned/rendered/logged/exported。</w:t>
            </w:r>
          </w:p>
        </w:tc>
      </w:tr>
      <w:tr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Professional Description</w:t>
            </w:r>
          </w:p>
        </w:tc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固定 decision-support panel；只讀 registered metadata/projections。</w:t>
            </w:r>
          </w:p>
        </w:tc>
      </w:tr>
      <w:tr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Capability Governance</w:t>
            </w:r>
          </w:p>
        </w:tc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Configure / Approve / Enable 受 exact gate / version / audit。</w:t>
            </w:r>
          </w:p>
        </w:tc>
      </w:tr>
      <w:tr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Route &amp; Sandbox</w:t>
            </w:r>
          </w:p>
        </w:tc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Candidate / Preflight / Compile / Sandbox / Route Decision / Quarantine / Queue diagnostic 完整且無 frontend override。</w:t>
            </w:r>
          </w:p>
        </w:tc>
      </w:tr>
      <w:tr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Instruction Continuity</w:t>
            </w:r>
          </w:p>
        </w:tc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Canonical Instruction provider-neutral；fallback 重新 compile；adapter 不改語意。</w:t>
            </w:r>
          </w:p>
        </w:tc>
      </w:tr>
      <w:tr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Job &amp; Cost</w:t>
            </w:r>
          </w:p>
        </w:tc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Job/Attempt/Callback/Artifact/Cost/Budget/Incident 具 exact lineage；finance mask/deny。</w:t>
            </w:r>
          </w:p>
        </w:tc>
      </w:tr>
      <w:tr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Security</w:t>
            </w:r>
          </w:p>
        </w:tc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Secret / callback / sandbox / quarantine / kill-switch hard boundaries 成立。</w:t>
            </w:r>
          </w:p>
        </w:tc>
      </w:tr>
      <w:tr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No Duplicate System</w:t>
            </w:r>
          </w:p>
        </w:tc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無第二套 Provider Registry / Secret DB / Router / Job store。</w:t>
            </w:r>
          </w:p>
        </w:tc>
      </w:tr>
      <w:tr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UI Necessity</w:t>
            </w:r>
          </w:p>
        </w:tc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低頻 Audit/Docs/Error 放 Drawer；一個 context 最多一個 dominant CTA。</w:t>
            </w:r>
          </w:p>
        </w:tc>
      </w:tr>
      <w:tr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Truthful Runtime</w:t>
            </w:r>
          </w:p>
        </w:tc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文件是施工設計；Production / external provider success 必須由後續 runtime/evidence 驗證，不由 Word 宣稱。</w:t>
            </w:r>
          </w:p>
        </w:tc>
      </w:tr>
    </w:tbl>
    <w:p>
      <w:pPr>
        <w:spacing w:after="20"/>
      </w:pPr>
    </w:p>
    <w:p>
      <w:pPr>
        <w:pStyle w:val="Heading1"/>
        <w:spacing w:before="100" w:after="40"/>
      </w:pPr>
      <w:r>
        <w:t>27. Construction Mapping / Next Transition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tblHeader w:val="true"/>
        </w:trPr>
        <w:tc>
          <w:tcPr>
            <w:tcW w:type="dxa" w:w="5244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施工層</w:t>
            </w:r>
          </w:p>
        </w:tc>
        <w:tc>
          <w:tcPr>
            <w:tcW w:type="dxa" w:w="5244"/>
            <w:shd w:fill="6E35FF"/>
            <w:vAlign w:val="center"/>
            <w:tcBorders>
              <w:top w:val="single" w:sz="6" w:color="5B35B8"/>
              <w:left w:val="single" w:sz="6" w:color="5B35B8"/>
              <w:bottom w:val="single" w:sz="6" w:color="5B35B8"/>
              <w:right w:val="single" w:sz="6" w:color="5B35B8"/>
              <w:insideH w:val="single" w:sz="6" w:color="5B35B8"/>
              <w:insideV w:val="single" w:sz="6" w:color="5B35B8"/>
            </w:tcBorders>
          </w:tcPr>
          <w:p>
            <w:pPr>
              <w:jc w:val="left"/>
            </w:pPr>
            <w:r/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必須落地</w:t>
            </w:r>
          </w:p>
        </w:tc>
      </w:tr>
      <w:tr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Frontend</w:t>
            </w:r>
          </w:p>
        </w:tc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4 same-page views、Profile table + professional panel、Route workbench、Operations table、drawer/modal、state/error presentation。</w:t>
            </w:r>
          </w:p>
        </w:tc>
      </w:tr>
      <w:tr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Command Port</w:t>
            </w:r>
          </w:p>
        </w:tc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Profile/Credential/Governance/Route/Sandbox/Quarantine/Queue/Kill Switch exact typed binding。</w:t>
            </w:r>
          </w:p>
        </w:tc>
      </w:tr>
      <w:tr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Server Runtime</w:t>
            </w:r>
          </w:p>
        </w:tc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Identity/page command authorization、provider command runtime、provider HTTP adapter、queue runtime。</w:t>
            </w:r>
          </w:p>
        </w:tc>
      </w:tr>
      <w:tr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Persistence</w:t>
            </w:r>
          </w:p>
        </w:tc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Provider profiles、tests、secret references、group/member refs、quarantine、route preflight/decision/attempt、job/artifact/cost/audit owners。</w:t>
            </w:r>
          </w:p>
        </w:tc>
      </w:tr>
      <w:tr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QA</w:t>
            </w:r>
          </w:p>
        </w:tc>
        <w:tc>
          <w:tcPr>
            <w:tcW w:type="dxa" w:w="5244"/>
            <w:shd w:fill="F6F7FB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Unit + permission + secret leak + sandbox isolation + route eligibility + callback verification + retry lineage + visual geometry + E2E。</w:t>
            </w:r>
          </w:p>
        </w:tc>
      </w:tr>
      <w:tr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Release</w:t>
            </w:r>
          </w:p>
        </w:tc>
        <w:tc>
          <w:tcPr>
            <w:tcW w:type="dxa" w:w="5244"/>
            <w:shd w:fill="FFFFFF"/>
            <w:tcBorders>
              <w:top w:val="single" w:sz="6" w:color="DADDE8"/>
              <w:left w:val="single" w:sz="6" w:color="DADDE8"/>
              <w:bottom w:val="single" w:sz="6" w:color="DADDE8"/>
              <w:right w:val="single" w:sz="6" w:color="DADDE8"/>
              <w:insideH w:val="single" w:sz="6" w:color="DADDE8"/>
              <w:insideV w:val="single" w:sz="6" w:color="DADDE8"/>
            </w:tcBorders>
            <w:vAlign w:val="center"/>
          </w:tcPr>
          <w:p>
            <w:pPr>
              <w:spacing w:after="0"/>
            </w:pPr>
            <w:r/>
            <w:r>
              <w:rPr>
                <w:rFonts w:ascii="Noto Sans CJK TC" w:hAnsi="Noto Sans CJK TC" w:eastAsia="Noto Sans CJK TC"/>
                <w:sz w:val="14"/>
              </w:rPr>
              <w:t>Exact-head gates + post-deploy smoke + external provider tests only with approved real profile/capability/secret configuration。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488"/>
            <w:shd w:fill="EEE9FF"/>
            <w:tcBorders>
              <w:top w:val="single" w:sz="6" w:color="B7A7EF"/>
              <w:left w:val="single" w:sz="6" w:color="B7A7EF"/>
              <w:bottom w:val="single" w:sz="6" w:color="B7A7EF"/>
              <w:right w:val="single" w:sz="6" w:color="B7A7EF"/>
              <w:insideH w:val="single" w:sz="6" w:color="B7A7EF"/>
              <w:insideV w:val="single" w:sz="6" w:color="B7A7EF"/>
            </w:tcBorders>
          </w:tcPr>
          <w:p>
            <w:pPr>
              <w:spacing w:after="20"/>
            </w:pPr>
            <w:r>
              <w:rPr>
                <w:rFonts w:ascii="Noto Sans CJK TC" w:hAnsi="Noto Sans CJK TC" w:eastAsia="Noto Sans CJK TC"/>
                <w:b/>
                <w:color w:val="5840A0"/>
                <w:sz w:val="16"/>
              </w:rPr>
              <w:t>Freeze Rule｜</w:t>
            </w:r>
            <w:r>
              <w:rPr>
                <w:rFonts w:ascii="Noto Sans CJK TC" w:hAnsi="Noto Sans CJK TC" w:eastAsia="Noto Sans CJK TC"/>
                <w:sz w:val="16"/>
              </w:rPr>
              <w:t>本文件完成的是 AIAPI-01 的頁面／功能／互動／施工設計閉環。任何未註冊的 Provider capability、API path、credential behavior、pricing 或 runtime effect 不得因文件方便而自動新增。</w:t>
            </w:r>
          </w:p>
        </w:tc>
        <w:trPr>
          <w:tblHeader/>
        </w:trPr>
      </w:tr>
    </w:tbl>
    <w:p>
      <w:pPr>
        <w:spacing w:after="20"/>
      </w:pPr>
    </w:p>
    <w:p>
      <w:pPr>
        <w:sectPr>
          <w:pgSz w:w="11906" w:h="16838" w:orient="landscape"/>
          <w:pgMar w:top="576" w:right="504" w:bottom="576" w:left="504" w:header="283" w:footer="283" w:gutter="0"/>
          <w:cols w:space="720"/>
          <w:docGrid w:linePitch="360"/>
        </w:sectPr>
      </w:pPr>
    </w:p>
    <w:p>
      <w:pPr>
        <w:pStyle w:val="Heading1"/>
      </w:pPr>
      <w:r>
        <w:t>2026-09-21 Machine Authority Construction Closure / 機器權威施工綁定封板</w:t>
      </w:r>
    </w:p>
    <w:p>
      <w:r>
        <w:rPr>
          <w:b/>
        </w:rPr>
        <w:t xml:space="preserve">[ACPOS-20260921-SOURCE-GROUNDED-CONSTRUCTION-CLOSURE-V2] </w:t>
      </w:r>
      <w:r>
        <w:t>Source-grounded only. Existing Current source wins; missing source values remain blocked/decision-required. This closure supersedes the prior generic 2026-09-21 V1/V3 annex only, not the original domain logic or human visual review gates.</w:t>
      </w:r>
    </w:p>
    <w:p>
      <w:pPr>
        <w:pStyle w:val="Heading2"/>
      </w:pPr>
      <w:r>
        <w:t>AIAPI-01 · Exact Construction Binding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915"/>
        <w:gridCol w:w="7915"/>
      </w:tblGrid>
      <w:tr>
        <w:trPr>
          <w:tblHeader w:val="true"/>
        </w:trPr>
        <w:tc>
          <w:tcPr>
            <w:tcW w:type="dxa" w:w="7915"/>
            <w:shd w:fill="EDE9FE"/>
          </w:tcPr>
          <w:p>
            <w:r>
              <w:rPr>
                <w:sz w:val="14"/>
              </w:rPr>
              <w:t>Authority</w:t>
            </w:r>
          </w:p>
        </w:tc>
        <w:tc>
          <w:tcPr>
            <w:tcW w:type="dxa" w:w="7915"/>
            <w:shd w:fill="EDE9FE"/>
          </w:tcPr>
          <w:p>
            <w:r>
              <w:rPr>
                <w:sz w:val="14"/>
              </w:rPr>
              <w:t>Value</w:t>
            </w:r>
          </w:p>
        </w:tc>
      </w:tr>
      <w:tr>
        <w:tc>
          <w:tcPr>
            <w:tcW w:type="dxa" w:w="7915"/>
          </w:tcPr>
          <w:p>
            <w:r>
              <w:rPr>
                <w:sz w:val="14"/>
              </w:rPr>
              <w:t>Source Commit</w:t>
            </w:r>
          </w:p>
        </w:tc>
        <w:tc>
          <w:tcPr>
            <w:tcW w:type="dxa" w:w="7915"/>
          </w:tcPr>
          <w:p>
            <w:r>
              <w:rPr>
                <w:sz w:val="14"/>
              </w:rPr>
              <w:t>165c6440cb53b1b45ec96905241fb4d56dc3b867</w:t>
            </w:r>
          </w:p>
        </w:tc>
      </w:tr>
      <w:tr>
        <w:tc>
          <w:tcPr>
            <w:tcW w:type="dxa" w:w="7915"/>
          </w:tcPr>
          <w:p>
            <w:r>
              <w:rPr>
                <w:sz w:val="14"/>
              </w:rPr>
              <w:t>Machine Authority</w:t>
            </w:r>
          </w:p>
        </w:tc>
        <w:tc>
          <w:tcPr>
            <w:tcW w:type="dxa" w:w="7915"/>
          </w:tcPr>
          <w:p>
            <w:r>
              <w:rPr>
                <w:sz w:val="14"/>
              </w:rPr>
              <w:t>authority/pages/admin/AIAPI-01/ACPOS_AIAPI-01_FINAL_LOCKED_ENCODING.yaml</w:t>
            </w:r>
          </w:p>
        </w:tc>
      </w:tr>
      <w:tr>
        <w:tc>
          <w:tcPr>
            <w:tcW w:type="dxa" w:w="7915"/>
          </w:tcPr>
          <w:p>
            <w:r>
              <w:rPr>
                <w:sz w:val="14"/>
              </w:rPr>
              <w:t>Authority SHA-256</w:t>
            </w:r>
          </w:p>
        </w:tc>
        <w:tc>
          <w:tcPr>
            <w:tcW w:type="dxa" w:w="7915"/>
          </w:tcPr>
          <w:p>
            <w:r>
              <w:rPr>
                <w:sz w:val="14"/>
              </w:rPr>
              <w:t>59367ec224aff397f25e9963cb22b166ced5eeac3d332111b58cc7980aecd5c8</w:t>
            </w:r>
          </w:p>
        </w:tc>
      </w:tr>
      <w:tr>
        <w:tc>
          <w:tcPr>
            <w:tcW w:type="dxa" w:w="7915"/>
          </w:tcPr>
          <w:p>
            <w:r>
              <w:rPr>
                <w:sz w:val="14"/>
              </w:rPr>
              <w:t>Expected Control Denominator</w:t>
            </w:r>
          </w:p>
        </w:tc>
        <w:tc>
          <w:tcPr>
            <w:tcW w:type="dxa" w:w="7915"/>
          </w:tcPr>
          <w:p>
            <w:r>
              <w:rPr>
                <w:sz w:val="14"/>
              </w:rPr>
              <w:t>17</w:t>
            </w:r>
          </w:p>
        </w:tc>
      </w:tr>
      <w:tr>
        <w:tc>
          <w:tcPr>
            <w:tcW w:type="dxa" w:w="7915"/>
          </w:tcPr>
          <w:p>
            <w:r>
              <w:rPr>
                <w:sz w:val="14"/>
              </w:rPr>
              <w:t>Unique Control Rows</w:t>
            </w:r>
          </w:p>
        </w:tc>
        <w:tc>
          <w:tcPr>
            <w:tcW w:type="dxa" w:w="7915"/>
          </w:tcPr>
          <w:p>
            <w:r>
              <w:rPr>
                <w:sz w:val="14"/>
              </w:rPr>
              <w:t>17</w:t>
            </w:r>
          </w:p>
        </w:tc>
      </w:tr>
      <w:tr>
        <w:tc>
          <w:tcPr>
            <w:tcW w:type="dxa" w:w="7915"/>
          </w:tcPr>
          <w:p>
            <w:r>
              <w:rPr>
                <w:sz w:val="14"/>
              </w:rPr>
              <w:t>Denominator Gate</w:t>
            </w:r>
          </w:p>
        </w:tc>
        <w:tc>
          <w:tcPr>
            <w:tcW w:type="dxa" w:w="7915"/>
          </w:tcPr>
          <w:p>
            <w:r>
              <w:rPr>
                <w:sz w:val="14"/>
              </w:rPr>
              <w:t>PASS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rPr>
          <w:tblHeader w:val="true"/>
        </w:trPr>
        <w:tc>
          <w:tcPr>
            <w:tcW w:type="dxa" w:w="1218"/>
            <w:shd w:fill="EDE9FE"/>
          </w:tcPr>
          <w:p>
            <w:r>
              <w:rPr>
                <w:sz w:val="10"/>
              </w:rPr>
              <w:t>Control UID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UID Status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Label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Type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Action UID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Gate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Permission / Auth Resource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Payload / Schema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Operation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Method / Path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Runtime Owner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Persistence Owner</w:t>
            </w:r>
          </w:p>
        </w:tc>
        <w:tc>
          <w:tcPr>
            <w:tcW w:type="dxa" w:w="1218"/>
            <w:shd w:fill="EDE9FE"/>
          </w:tcPr>
          <w:p>
            <w:r>
              <w:rPr>
                <w:sz w:val="10"/>
              </w:rPr>
              <w:t>Runtime Status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CTRL-ADMIN-AIAPI-06-PROVIDER-MODEL-PROFILES-CREATE-PROFILE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EXISTING_CONTROL_RESOURCE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新增 Provider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BUTTON_OR_ROW_ACTION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 Modal；schema/gate/permission required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control:CTRL-ADMIN-AIAPI-06-PROVIDER-MODEL-PROFILES-CREATE-PROFILE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AIAPI Page Operation-specific Form / Provider Profile Field Contract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createProviderModelProfile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POST /v1/aiapi/provider-profiles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AIAPI_PROVIDER_COMMAND_RUNTIME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acpos_runtime.provider_profiles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CTRL-ADMIN-AIAPI-06-PROVIDER-MODEL-PROFILES-UPDATE-PROFILE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EXISTING_CONTROL_RESOURCE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編輯 Profile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BUTTON_OR_ROW_ACTION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Expected version + audit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control:CTRL-ADMIN-AIAPI-06-PROVIDER-MODEL-PROFILES-UPDATE-PROFILE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AIAPI Page Operation-specific Form / Provider Profile Field Contract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updateProviderModelProfile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PATCH /v1/aiapi/provider-profiles/{profileId}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AIAPI_PROVIDER_COMMAND_RUNTIME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acpos_runtime.provider_profiles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CTRL-ADMIN-AIAPI-06-PROVIDER-MODEL-PROFILES-VIEW-PROFILE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EXISTING_CONTROL_RESOURCE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查看 Profile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BUTTON_OR_ROW_ACTION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Drawer / read-only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control:CTRL-ADMIN-AIAPI-06-PROVIDER-MODEL-PROFILES-VIEW-PROFILE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AIAPI Page Operation-specific Form / Provider Profile Field Contract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getProviderModelProfile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/v1/aiapi/provider-profiles/{profileId}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AIAPI_PROVIDER_COMMAND_RUNTIME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acpos_runtime.provider_profiles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CTRL-ADMIN-AIAPI-06-PROVIDER-MODEL-PROFILES-TEST-PROFILE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EXISTING_CONTROL_RESOURCE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連線測試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BUTTON_OR_ROW_ACTION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Secret ref + adapter required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control:CTRL-ADMIN-AIAPI-06-PROVIDER-MODEL-PROFILES-TEST-PROFILE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AIAPI Page Operation-specific Form / Provider Profile Field Contract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testProviderModelProfile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POST /v1/aiapi/provider-profiles/{profileId}/test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AIAPI_PROVIDER_COMMAND_RUNTIME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acpos_runtime.provider_profile_tests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CTRL-ADMIN-AIAPI-06-PROVIDER-MODEL-PROFILES-RETIRE-PROFILE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EXISTING_CONTROL_RESOURCE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退役 Profile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BUTTON_OR_ROW_ACTION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State guarded; never hard delete runtime history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control:CTRL-ADMIN-AIAPI-06-PROVIDER-MODEL-PROFILES-RETIRE-PROFILE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AIAPI Page Operation-specific Form / Provider Profile Field Contract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retireProviderModelProfile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POST /v1/aiapi/provider-profiles/{profileId}/retire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AIAPI_PROVIDER_COMMAND_RUNTIME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acpos_runtime.provider_profiles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CTRL-ADMIN-AIAPI-06-PROVIDER-MODEL-PROFILES-SET-CREDENTIAL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EXISTING_CONTROL_RESOURCE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設定 API 金鑰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BUTTON_OR_ROW_ACTION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Write-only; secret env/reference owner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control:CTRL-ADMIN-AIAPI-06-PROVIDER-MODEL-PROFILES-SET-CREDENTIAL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AIAPI Page Operation-specific Form / Provider Profile Field Contract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setProviderModelCredential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PUT /v1/aiapi/provider-profiles/{profileId}/credential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AIAPI_PROVIDER_COMMAND_RUNTIME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public.secret_references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CTRL-ADMIN-AIAPI-06-PROVIDER-MODEL-PROFILES-DELETE-CREDENTIAL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EXISTING_CONTROL_RESOURCE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刪除 API 金鑰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BUTTON_OR_ROW_ACTION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Reason/confirmation; no old value in response/log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control:CTRL-ADMIN-AIAPI-06-PROVIDER-MODEL-PROFILES-DELETE-CREDENTIAL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AIAPI Page Operation-specific Form / Provider Profile Field Contract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deleteProviderModelCredential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DELETE /v1/aiapi/provider-profiles/{profileId}/credential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AIAPI_PROVIDER_COMMAND_RUNTIME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public.secret_references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AIAPI-01-BTN-CONFIGURE-GOVERNED-RESOURCE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NEW_CONSTRUCTION_UID_FROM_EXISTING_CURRENT_UI_OPERATION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設定 Capability/Policy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BUTTON_OR_ROW_ACTION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Exact governed resource ref</w:t>
            </w:r>
          </w:p>
        </w:tc>
        <w:tc>
          <w:tcPr>
            <w:tcW w:type="dxa" w:w="1218"/>
          </w:tcPr>
          <w:p>
            <w:r>
              <w:t>quality.criteria.configure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AIAPI Page Operation-specific Form / Provider Profile Field Contract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configureGovernedResource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PATCH /v1/governance/resources/{id}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IAM_RUNTIME</w:t>
            </w:r>
          </w:p>
        </w:tc>
        <w:tc>
          <w:tcPr>
            <w:tcW w:type="dxa" w:w="1218"/>
          </w:tcPr>
          <w:p>
            <w:r>
              <w:t>Resolved Governed Resource Canonical Owner / Governance Audit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AIAPI-01-BTN-APPROVE-GOVERNED-RESOURCE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NEW_CONSTRUCTION_UID_FROM_EXISTING_CURRENT_UI_OPERATION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核准 Capability/Policy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BUTTON_OR_ROW_ACTION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Version + rationale + audit</w:t>
            </w:r>
          </w:p>
        </w:tc>
        <w:tc>
          <w:tcPr>
            <w:tcW w:type="dxa" w:w="1218"/>
          </w:tcPr>
          <w:p>
            <w:r>
              <w:t>governance.approve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AIAPI Page Operation-specific Form / Provider Profile Field Contract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approveGovernedResource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POST /v1/governance/resources/{id}/approve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IAM_RUNTIME</w:t>
            </w:r>
          </w:p>
        </w:tc>
        <w:tc>
          <w:tcPr>
            <w:tcW w:type="dxa" w:w="1218"/>
          </w:tcPr>
          <w:p>
            <w:r>
              <w:t>Resolved Governed Resource Canonical Owner / Approval Audit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CTRL-ADMIN-AIAPI-05-PROVIDER-CANDIDATE-GROUPS-CREATE-GROUP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EXISTING_CONTROL_RESOURCE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建立 Candidate Group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BUTTON_OR_ROW_ACTION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Group + ordered member refs + limits only by exact schema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control:CTRL-ADMIN-AIAPI-05-PROVIDER-CANDIDATE-GROUPS-CREATE-GROUP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AIAPI Page Operation-specific Form / Provider Profile Field Contract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createProviderCandidateGroup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POST /v1/aiapi/provider-groups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AIAPI_PROVIDER_COMMAND_RUNTIME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acpos_runtime.provider_groups; acpos_runtime.provider_members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AIAPI-01-BTN-RUN-SANDBOX-TEST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NEW_CONSTRUCTION_UID_FROM_EXISTING_CURRENT_UI_OPERATION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Sandbox 測試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BUTTON_OR_ROW_ACTION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admin:AIAPI-08:ACT-SYSTEM-TEST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Production secret/output forbidden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action:admin:AIAPI-08:ACT-SYSTEM-TEST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AIAPI Page Operation-specific Form / Provider Profile Field Contract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runSandboxTest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POST /v1/aiapi/sandbox-tests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AIAPI_PROVIDER_COMMAND_RUNTIME</w:t>
            </w:r>
          </w:p>
        </w:tc>
        <w:tc>
          <w:tcPr>
            <w:tcW w:type="dxa" w:w="1218"/>
          </w:tcPr>
          <w:p>
            <w:r>
              <w:t>ACPOS-AI-03 Sandbox Evidence / Audit Lineage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CTRL-ADMIN-AIAPI-08-ROUTE-SIMULATION-EXECUTE-ROUTE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EXISTING_CONTROL_RESOURCE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執行 Route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BUTTON_OR_ROW_ACTION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All hard gates + queue + approved capability/profile/secret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control:CTRL-ADMIN-AIAPI-08-ROUTE-SIMULATION-EXECUTE-ROUTE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AIAPI Page Operation-specific Form / Provider Profile Field Contract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executeProviderRoute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POST /v1/aiapi/routes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AIAPI_PROVIDER_COMMAND_RUNTIME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acpos_runtime.provider_route_preflights; acpos_runtime.provider_route_decisions; acpos_runtime.provider_route_attempts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CTRL-ADMIN-AIAPI-08-ROUTE-SIMULATION-VIEW-ROUTE-DECISION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EXISTING_CONTROL_RESOURCE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查看 Route Decision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BUTTON_OR_ROW_ACTION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Read-only exact decision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control:CTRL-ADMIN-AIAPI-08-ROUTE-SIMULATION-VIEW-ROUTE-DECISION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AIAPI Page Operation-specific Form / Provider Profile Field Contract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getProviderRouteDecision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/v1/aiapi/routes/{routeDecisionId}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AIAPI_PROVIDER_COMMAND_RUNTIME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acpos_runtime.provider_route_decisions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CTRL-ADMIN-AIAPI-05-PROVIDER-CANDIDATE-GROUPS-VIEW-QUARANTINE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EXISTING_CONTROL_RESOURCE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查看 Quarantine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BUTTON_OR_ROW_ACTION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Read-only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control:CTRL-ADMIN-AIAPI-05-PROVIDER-CANDIDATE-GROUPS-VIEW-QUARANTINE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AIAPI Page Operation-specific Form / Provider Profile Field Contract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getProviderQuarantine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GET /v1/aiapi/quarantine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AIAPI_PROVIDER_COMMAND_RUNTIME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acpos_runtime.provider_quarantine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CTRL-ADMIN-AIAPI-05-PROVIDER-CANDIDATE-GROUPS-RESTORE-PROVIDER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EXISTING_CONTROL_RESOURCE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Restore Quarantine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BUTTON_OR_ROW_ACTION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Reason + audit; bypass forbidden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control:CTRL-ADMIN-AIAPI-05-PROVIDER-CANDIDATE-GROUPS-RESTORE-PROVIDER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AIAPI Page Operation-specific Form / Provider Profile Field Contract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restoreProviderFromQuarantine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POST /v1/aiapi/quarantine/{quarantineId}/restore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AIAPI_PROVIDER_COMMAND_RUNTIME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acpos_runtime.provider_quarantine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AIAPI-01-BTN-RUN-PROVIDER-QUEUE-PROBE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NEW_CONSTRUCTION_UID_FROM_EXISTING_CURRENT_UI_OPERATION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Queue Probe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BUTTON_OR_ROW_ACTION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Diagnostic only; no provider external call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page:admin:AIAPI-01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AIAPI Page Operation-specific Form / Provider Profile Field Contract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runProviderQueueProbe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POST /v1/aiapi/queue/probe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PROVIDER_EXECUTION_QUEUE_RUNTIME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public.queues; public.workers; public.outbox_events; public.inbox_events; public.dead_letters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218"/>
          </w:tcPr>
          <w:p>
            <w:r>
              <w:rPr>
                <w:sz w:val="10"/>
              </w:rPr>
              <w:t>CTRL-ADMIN-AIAPI-09-ACT-02-ACT-KILL-SWITCH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EXISTING_CONTROL_RESOURCE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Kill Switch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BUTTON_OR_ROW_ACTION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High-risk confirmation + reason + audit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control:CTRL-ADMIN-AIAPI-09-ACT-02-ACT-KILL-SWITCH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AIAPI Page Operation-specific Form / Provider Profile Field Contract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setKillSwitch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POST /v1/aiapi/kill-switch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AIAPI_PROVIDER_COMMAND_RUNTIME</w:t>
            </w:r>
          </w:p>
        </w:tc>
        <w:tc>
          <w:tcPr>
            <w:tcW w:type="dxa" w:w="1218"/>
          </w:tcPr>
          <w:p>
            <w:r>
              <w:t>ACPOS-AI-03 Operational Control State / Audit Lineage</w:t>
            </w:r>
          </w:p>
        </w:tc>
        <w:tc>
          <w:tcPr>
            <w:tcW w:type="dxa" w:w="1218"/>
          </w:tcPr>
          <w:p>
            <w:r>
              <w:rPr>
                <w:sz w:val="10"/>
              </w:rPr>
              <w:t>EFFECTFUL_EXACT</w:t>
            </w:r>
          </w:p>
        </w:tc>
      </w:tr>
    </w:tbl>
    <w:p>
      <w:pPr>
        <w:pStyle w:val="Heading3"/>
      </w:pPr>
      <w:r>
        <w:t>AIAPI Control UID Provenance</w:t>
      </w:r>
    </w:p>
    <w:p>
      <w:r>
        <w:t>Where the operation registry already supplies a control:* authorization resource, that exact control resource is reused. For current single-page UI operations that exist in the page UI + operation registry but expose only an action/page authorization resource, this closure creates a deterministic AIAPI-01-BTN-&lt;OPERATION&gt; construction UID and marks UID Status as NEW_CONSTRUCTION_UID_FROM_EXISTING_CURRENT_UI_OPERATION. The operation, path, authorization owner, payload fields and runtime are not changed.</w:t>
      </w:r>
    </w:p>
    <w:p>
      <w:pPr>
        <w:pStyle w:val="Heading2"/>
      </w:pPr>
      <w:r>
        <w:t>Page Construction Invariant</w:t>
      </w:r>
    </w:p>
    <w:p>
      <w:r>
        <w:t>The exact control denominator above is the only construction denominator for this page. Components/fields/visual IDs are not counted as additional controls. Existing source UIDs are preserved. A control classified UI_LOCAL_EXACT MUST NOT create a server write. A control classified SPEC_EXACT_RUNTIME_BLOCKED / NOT_EXECUTED MUST remain disabled or fail-closed until its runtime evidence exists.</w:t>
      </w:r>
    </w:p>
    <w:p>
      <w:pPr>
        <w:sectPr>
          <w:pgSz w:w="16838" w:h="11906" w:orient="landscape"/>
          <w:pgMar w:top="576" w:right="504" w:bottom="576" w:left="504" w:header="283" w:footer="283" w:gutter="0"/>
          <w:cols w:space="720"/>
          <w:docGrid w:linePitch="360"/>
        </w:sectPr>
      </w:pPr>
    </w:p>
    <w:p>
      <w:pPr>
        <w:pStyle w:val="Heading1"/>
      </w:pPr>
      <w:r>
        <w:t>Batch 13 · Action UID Applicability Ledger</w:t>
      </w:r>
    </w:p>
    <w:p>
      <w:r>
        <w:rPr>
          <w:b/>
        </w:rPr>
        <w:t xml:space="preserve">[ACPOS-20260921-BATCH-13-EXPLICIT-NA-ACTION-SEMANTICS-V1::PAGE::AIAPI-01] </w:t>
      </w:r>
      <w:r>
        <w:t>This ledger records applicability only. Product Control Registry rows remain unchanged; Action UID stays '—'. These rows MUST NOT be parsed as additional product controls.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8"/>
        <w:gridCol w:w="2208"/>
        <w:gridCol w:w="2208"/>
        <w:gridCol w:w="2208"/>
        <w:gridCol w:w="2208"/>
      </w:tblGrid>
      <w:tr>
        <w:trPr>
          <w:tblHeader w:val="true"/>
        </w:trPr>
        <w:tc>
          <w:tcPr>
            <w:tcW w:type="dxa" w:w="2208"/>
            <w:shd w:fill="EDE9FE"/>
          </w:tcPr>
          <w:p>
            <w:pPr>
              <w:spacing w:before="0" w:after="0"/>
            </w:pPr>
            <w:r>
              <w:rPr>
                <w:sz w:val="9"/>
              </w:rPr>
              <w:t>Target UID</w:t>
            </w:r>
          </w:p>
        </w:tc>
        <w:tc>
          <w:tcPr>
            <w:tcW w:type="dxa" w:w="2208"/>
            <w:shd w:fill="EDE9FE"/>
          </w:tcPr>
          <w:p>
            <w:pPr>
              <w:spacing w:before="0" w:after="0"/>
            </w:pPr>
            <w:r>
              <w:rPr>
                <w:sz w:val="9"/>
              </w:rPr>
              <w:t>Field</w:t>
            </w:r>
          </w:p>
        </w:tc>
        <w:tc>
          <w:tcPr>
            <w:tcW w:type="dxa" w:w="2208"/>
            <w:shd w:fill="EDE9FE"/>
          </w:tcPr>
          <w:p>
            <w:pPr>
              <w:spacing w:before="0" w:after="0"/>
            </w:pPr>
            <w:r>
              <w:rPr>
                <w:sz w:val="9"/>
              </w:rPr>
              <w:t>Current Cell</w:t>
            </w:r>
          </w:p>
        </w:tc>
        <w:tc>
          <w:tcPr>
            <w:tcW w:type="dxa" w:w="2208"/>
            <w:shd w:fill="EDE9FE"/>
          </w:tcPr>
          <w:p>
            <w:pPr>
              <w:spacing w:before="0" w:after="0"/>
            </w:pPr>
            <w:r>
              <w:rPr>
                <w:sz w:val="9"/>
              </w:rPr>
              <w:t>Applicability Class</w:t>
            </w:r>
          </w:p>
        </w:tc>
        <w:tc>
          <w:tcPr>
            <w:tcW w:type="dxa" w:w="2208"/>
            <w:shd w:fill="EDE9FE"/>
          </w:tcPr>
          <w:p>
            <w:pPr>
              <w:spacing w:before="0" w:after="0"/>
            </w:pPr>
            <w:r>
              <w:rPr>
                <w:sz w:val="9"/>
              </w:rPr>
              <w:t>Required Handling</w:t>
            </w:r>
          </w:p>
        </w:tc>
      </w:tr>
      <w:tr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AIAPI-01-BTN-APPROVE-GOVERNED-RESOURCE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Action UID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—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LEGITIMATE_NA_DIRECT_OPERATION_ACTION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DO_NOT_INVENT_ACTION_UID</w:t>
            </w:r>
          </w:p>
        </w:tc>
      </w:tr>
      <w:tr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AIAPI-01-BTN-CONFIGURE-GOVERNED-RESOURCE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Action UID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—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LEGITIMATE_NA_DIRECT_OPERATION_ACTION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DO_NOT_INVENT_ACTION_UID</w:t>
            </w:r>
          </w:p>
        </w:tc>
      </w:tr>
      <w:tr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AIAPI-01-BTN-RUN-PROVIDER-QUEUE-PROBE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Action UID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—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LEGITIMATE_NA_DIRECT_OPERATION_ACTION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DO_NOT_INVENT_ACTION_UID</w:t>
            </w:r>
          </w:p>
        </w:tc>
      </w:tr>
      <w:tr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CTRL-ADMIN-AIAPI-05-PROVIDER-CANDIDATE-GROUPS-CREATE-GROUP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Action UID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—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LEGITIMATE_NA_DIRECT_OPERATION_ACTION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DO_NOT_INVENT_ACTION_UID</w:t>
            </w:r>
          </w:p>
        </w:tc>
      </w:tr>
      <w:tr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CTRL-ADMIN-AIAPI-05-PROVIDER-CANDIDATE-GROUPS-RESTORE-PROVIDER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Action UID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—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LEGITIMATE_NA_DIRECT_OPERATION_ACTION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DO_NOT_INVENT_ACTION_UID</w:t>
            </w:r>
          </w:p>
        </w:tc>
      </w:tr>
      <w:tr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CTRL-ADMIN-AIAPI-05-PROVIDER-CANDIDATE-GROUPS-VIEW-QUARANTINE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Action UID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—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LEGITIMATE_NA_DIRECT_OPERATION_ACTION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DO_NOT_INVENT_ACTION_UID</w:t>
            </w:r>
          </w:p>
        </w:tc>
      </w:tr>
      <w:tr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CTRL-ADMIN-AIAPI-06-PROVIDER-MODEL-PROFILES-CREATE-PROFILE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Action UID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—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LEGITIMATE_NA_DIRECT_OPERATION_ACTION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DO_NOT_INVENT_ACTION_UID</w:t>
            </w:r>
          </w:p>
        </w:tc>
      </w:tr>
      <w:tr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CTRL-ADMIN-AIAPI-06-PROVIDER-MODEL-PROFILES-DELETE-CREDENTIAL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Action UID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—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LEGITIMATE_NA_DIRECT_OPERATION_ACTION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DO_NOT_INVENT_ACTION_UID</w:t>
            </w:r>
          </w:p>
        </w:tc>
      </w:tr>
      <w:tr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CTRL-ADMIN-AIAPI-06-PROVIDER-MODEL-PROFILES-RETIRE-PROFILE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Action UID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—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LEGITIMATE_NA_DIRECT_OPERATION_ACTION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DO_NOT_INVENT_ACTION_UID</w:t>
            </w:r>
          </w:p>
        </w:tc>
      </w:tr>
      <w:tr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CTRL-ADMIN-AIAPI-06-PROVIDER-MODEL-PROFILES-SET-CREDENTIAL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Action UID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—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LEGITIMATE_NA_DIRECT_OPERATION_ACTION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DO_NOT_INVENT_ACTION_UID</w:t>
            </w:r>
          </w:p>
        </w:tc>
      </w:tr>
      <w:tr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CTRL-ADMIN-AIAPI-06-PROVIDER-MODEL-PROFILES-TEST-PROFILE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Action UID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—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LEGITIMATE_NA_DIRECT_OPERATION_ACTION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DO_NOT_INVENT_ACTION_UID</w:t>
            </w:r>
          </w:p>
        </w:tc>
      </w:tr>
      <w:tr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CTRL-ADMIN-AIAPI-06-PROVIDER-MODEL-PROFILES-UPDATE-PROFILE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Action UID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—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LEGITIMATE_NA_DIRECT_OPERATION_ACTION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DO_NOT_INVENT_ACTION_UID</w:t>
            </w:r>
          </w:p>
        </w:tc>
      </w:tr>
      <w:tr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CTRL-ADMIN-AIAPI-06-PROVIDER-MODEL-PROFILES-VIEW-PROFILE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Action UID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—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LEGITIMATE_NA_DIRECT_OPERATION_ACTION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DO_NOT_INVENT_ACTION_UID</w:t>
            </w:r>
          </w:p>
        </w:tc>
      </w:tr>
      <w:tr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CTRL-ADMIN-AIAPI-08-ROUTE-SIMULATION-EXECUTE-ROUTE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Action UID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—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LEGITIMATE_NA_DIRECT_OPERATION_ACTION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DO_NOT_INVENT_ACTION_UID</w:t>
            </w:r>
          </w:p>
        </w:tc>
      </w:tr>
      <w:tr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CTRL-ADMIN-AIAPI-08-ROUTE-SIMULATION-VIEW-ROUTE-DECISION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Action UID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—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LEGITIMATE_NA_DIRECT_OPERATION_ACTION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DO_NOT_INVENT_ACTION_UID</w:t>
            </w:r>
          </w:p>
        </w:tc>
      </w:tr>
      <w:tr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CTRL-ADMIN-AIAPI-09-ACT-02-ACT-KILL-SWITCH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Action UID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—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LEGITIMATE_NA_DIRECT_OPERATION_ACTION</w:t>
            </w:r>
          </w:p>
        </w:tc>
        <w:tc>
          <w:tcPr>
            <w:tcW w:type="dxa" w:w="2208"/>
          </w:tcPr>
          <w:p>
            <w:pPr>
              <w:spacing w:before="0" w:after="0"/>
            </w:pPr>
            <w:r>
              <w:rPr>
                <w:sz w:val="9"/>
              </w:rPr>
              <w:t>DO_NOT_INVENT_ACTION_UID</w:t>
            </w:r>
          </w:p>
        </w:tc>
      </w:tr>
    </w:tbl>
    <w:p>
      <w:pPr>
        <w:sectPr>
          <w:pgSz w:w="11906" w:h="16838" w:orient="landscape"/>
          <w:pgMar w:top="490" w:right="432" w:bottom="490" w:left="432" w:header="283" w:footer="283" w:gutter="0"/>
          <w:cols w:space="720"/>
          <w:docGrid w:linePitch="360"/>
        </w:sectPr>
      </w:pPr>
    </w:p>
    <w:p>
      <w:pPr>
        <w:pStyle w:val="Heading1"/>
      </w:pPr>
      <w:r>
        <w:t>Batch 38 · AIAPI Persistence Binding Ledger</w:t>
      </w:r>
    </w:p>
    <w:p>
      <w:r>
        <w:rPr>
          <w:b/>
        </w:rPr>
        <w:t xml:space="preserve">[ACPOS-20260922-BATCH-38-SYSTEM03-PERSISTENCE-REMEDIATION-V1::PAGE::AIAPI-01] </w:t>
      </w:r>
      <w:r>
        <w:t>These four Persistence Owner bindings preserve existing Method/Path, Payload/Schema, Runtime Owner and Runtime Status. Governed-resource persistence remains with the exact resolved resource owner; sandbox and kill-switch evidence remain AI-03 operational/audit concerns. No Production execution claim is made.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008"/>
        <w:gridCol w:w="4008"/>
        <w:gridCol w:w="4008"/>
        <w:gridCol w:w="4008"/>
      </w:tblGrid>
      <w:tr>
        <w:trPr>
          <w:tblHeader w:val="true"/>
        </w:trPr>
        <w:tc>
          <w:tcPr>
            <w:tcW w:type="dxa" w:w="4008"/>
            <w:shd w:fill="EDE9FE"/>
          </w:tcPr>
          <w:p>
            <w:pPr>
              <w:spacing w:before="0" w:after="0"/>
            </w:pPr>
            <w:r>
              <w:rPr>
                <w:sz w:val="7"/>
              </w:rPr>
              <w:t>Control UID</w:t>
            </w:r>
          </w:p>
        </w:tc>
        <w:tc>
          <w:tcPr>
            <w:tcW w:type="dxa" w:w="4008"/>
            <w:shd w:fill="EDE9FE"/>
          </w:tcPr>
          <w:p>
            <w:pPr>
              <w:spacing w:before="0" w:after="0"/>
            </w:pPr>
            <w:r>
              <w:rPr>
                <w:sz w:val="7"/>
              </w:rPr>
              <w:t>Operation</w:t>
            </w:r>
          </w:p>
        </w:tc>
        <w:tc>
          <w:tcPr>
            <w:tcW w:type="dxa" w:w="4008"/>
            <w:shd w:fill="EDE9FE"/>
          </w:tcPr>
          <w:p>
            <w:pPr>
              <w:spacing w:before="0" w:after="0"/>
            </w:pPr>
            <w:r>
              <w:rPr>
                <w:sz w:val="7"/>
              </w:rPr>
              <w:t>Persistence Owner</w:t>
            </w:r>
          </w:p>
        </w:tc>
        <w:tc>
          <w:tcPr>
            <w:tcW w:type="dxa" w:w="4008"/>
            <w:shd w:fill="EDE9FE"/>
          </w:tcPr>
          <w:p>
            <w:pPr>
              <w:spacing w:before="0" w:after="0"/>
            </w:pPr>
            <w:r>
              <w:rPr>
                <w:sz w:val="7"/>
              </w:rPr>
              <w:t>Required Semantics</w:t>
            </w:r>
          </w:p>
        </w:tc>
      </w:tr>
      <w:tr>
        <w:tc>
          <w:tcPr>
            <w:tcW w:type="dxa" w:w="4008"/>
          </w:tcPr>
          <w:p>
            <w:pPr>
              <w:spacing w:before="0" w:after="0"/>
            </w:pPr>
            <w:r>
              <w:rPr>
                <w:sz w:val="7"/>
              </w:rPr>
              <w:t>AIAPI-01-BTN-CONFIGURE-GOVERNED-RESOURCE</w:t>
            </w:r>
          </w:p>
        </w:tc>
        <w:tc>
          <w:tcPr>
            <w:tcW w:type="dxa" w:w="4008"/>
          </w:tcPr>
          <w:p>
            <w:pPr>
              <w:spacing w:before="0" w:after="0"/>
            </w:pPr>
            <w:r>
              <w:rPr>
                <w:sz w:val="7"/>
              </w:rPr>
              <w:t>configureGovernedResource</w:t>
            </w:r>
          </w:p>
        </w:tc>
        <w:tc>
          <w:tcPr>
            <w:tcW w:type="dxa" w:w="4008"/>
          </w:tcPr>
          <w:p>
            <w:pPr>
              <w:spacing w:before="0" w:after="0"/>
            </w:pPr>
            <w:r>
              <w:rPr>
                <w:sz w:val="7"/>
              </w:rPr>
              <w:t>Resolved Governed Resource Canonical Owner / Governance Audit</w:t>
            </w:r>
          </w:p>
        </w:tc>
        <w:tc>
          <w:tcPr>
            <w:tcW w:type="dxa" w:w="4008"/>
          </w:tcPr>
          <w:p>
            <w:pPr>
              <w:spacing w:before="0" w:after="0"/>
            </w:pPr>
            <w:r>
              <w:rPr>
                <w:sz w:val="7"/>
              </w:rPr>
              <w:t>The command configures an exact governed resource. AIAPI/IAM runtime must not steal domain persistence ownership; the exact resource owner persists state while governance audit preserves actor/correlation/version evidence.</w:t>
            </w:r>
          </w:p>
        </w:tc>
      </w:tr>
      <w:tr>
        <w:tc>
          <w:tcPr>
            <w:tcW w:type="dxa" w:w="4008"/>
          </w:tcPr>
          <w:p>
            <w:pPr>
              <w:spacing w:before="0" w:after="0"/>
            </w:pPr>
            <w:r>
              <w:rPr>
                <w:sz w:val="7"/>
              </w:rPr>
              <w:t>AIAPI-01-BTN-APPROVE-GOVERNED-RESOURCE</w:t>
            </w:r>
          </w:p>
        </w:tc>
        <w:tc>
          <w:tcPr>
            <w:tcW w:type="dxa" w:w="4008"/>
          </w:tcPr>
          <w:p>
            <w:pPr>
              <w:spacing w:before="0" w:after="0"/>
            </w:pPr>
            <w:r>
              <w:rPr>
                <w:sz w:val="7"/>
              </w:rPr>
              <w:t>approveGovernedResource</w:t>
            </w:r>
          </w:p>
        </w:tc>
        <w:tc>
          <w:tcPr>
            <w:tcW w:type="dxa" w:w="4008"/>
          </w:tcPr>
          <w:p>
            <w:pPr>
              <w:spacing w:before="0" w:after="0"/>
            </w:pPr>
            <w:r>
              <w:rPr>
                <w:sz w:val="7"/>
              </w:rPr>
              <w:t>Resolved Governed Resource Canonical Owner / Approval Audit</w:t>
            </w:r>
          </w:p>
        </w:tc>
        <w:tc>
          <w:tcPr>
            <w:tcW w:type="dxa" w:w="4008"/>
          </w:tcPr>
          <w:p>
            <w:pPr>
              <w:spacing w:before="0" w:after="0"/>
            </w:pPr>
            <w:r>
              <w:rPr>
                <w:sz w:val="7"/>
              </w:rPr>
              <w:t>Approval writes the governed resource's approved/version state under its canonical owner and preserves separate approver/rationale/audit evidence.</w:t>
            </w:r>
          </w:p>
        </w:tc>
      </w:tr>
      <w:tr>
        <w:tc>
          <w:tcPr>
            <w:tcW w:type="dxa" w:w="4008"/>
          </w:tcPr>
          <w:p>
            <w:pPr>
              <w:spacing w:before="0" w:after="0"/>
            </w:pPr>
            <w:r>
              <w:rPr>
                <w:sz w:val="7"/>
              </w:rPr>
              <w:t>AIAPI-01-BTN-RUN-SANDBOX-TEST</w:t>
            </w:r>
          </w:p>
        </w:tc>
        <w:tc>
          <w:tcPr>
            <w:tcW w:type="dxa" w:w="4008"/>
          </w:tcPr>
          <w:p>
            <w:pPr>
              <w:spacing w:before="0" w:after="0"/>
            </w:pPr>
            <w:r>
              <w:rPr>
                <w:sz w:val="7"/>
              </w:rPr>
              <w:t>runSandboxTest</w:t>
            </w:r>
          </w:p>
        </w:tc>
        <w:tc>
          <w:tcPr>
            <w:tcW w:type="dxa" w:w="4008"/>
          </w:tcPr>
          <w:p>
            <w:pPr>
              <w:spacing w:before="0" w:after="0"/>
            </w:pPr>
            <w:r>
              <w:rPr>
                <w:sz w:val="7"/>
              </w:rPr>
              <w:t>ACPOS-AI-03 Sandbox Evidence / Audit Lineage</w:t>
            </w:r>
          </w:p>
        </w:tc>
        <w:tc>
          <w:tcPr>
            <w:tcW w:type="dxa" w:w="4008"/>
          </w:tcPr>
          <w:p>
            <w:pPr>
              <w:spacing w:before="0" w:after="0"/>
            </w:pPr>
            <w:r>
              <w:rPr>
                <w:sz w:val="7"/>
              </w:rPr>
              <w:t>Sandbox may persist isolated test evidence and lineage only; Production secret/output writes and Production-pass claims remain forbidden.</w:t>
            </w:r>
          </w:p>
        </w:tc>
      </w:tr>
      <w:tr>
        <w:tc>
          <w:tcPr>
            <w:tcW w:type="dxa" w:w="4008"/>
          </w:tcPr>
          <w:p>
            <w:pPr>
              <w:spacing w:before="0" w:after="0"/>
            </w:pPr>
            <w:r>
              <w:rPr>
                <w:sz w:val="7"/>
              </w:rPr>
              <w:t>CTRL-ADMIN-AIAPI-09-ACT-02-ACT-KILL-SWITCH</w:t>
            </w:r>
          </w:p>
        </w:tc>
        <w:tc>
          <w:tcPr>
            <w:tcW w:type="dxa" w:w="4008"/>
          </w:tcPr>
          <w:p>
            <w:pPr>
              <w:spacing w:before="0" w:after="0"/>
            </w:pPr>
            <w:r>
              <w:rPr>
                <w:sz w:val="7"/>
              </w:rPr>
              <w:t>setKillSwitch</w:t>
            </w:r>
          </w:p>
        </w:tc>
        <w:tc>
          <w:tcPr>
            <w:tcW w:type="dxa" w:w="4008"/>
          </w:tcPr>
          <w:p>
            <w:pPr>
              <w:spacing w:before="0" w:after="0"/>
            </w:pPr>
            <w:r>
              <w:rPr>
                <w:sz w:val="7"/>
              </w:rPr>
              <w:t>ACPOS-AI-03 Operational Control State / Audit Lineage</w:t>
            </w:r>
          </w:p>
        </w:tc>
        <w:tc>
          <w:tcPr>
            <w:tcW w:type="dxa" w:w="4008"/>
          </w:tcPr>
          <w:p>
            <w:pPr>
              <w:spacing w:before="0" w:after="0"/>
            </w:pPr>
            <w:r>
              <w:rPr>
                <w:sz w:val="7"/>
              </w:rPr>
              <w:t>Kill switch is a server-side operational gate that dominates execution; state transition and authorized reason/correlation/audit evidence must remain reconstructable.</w:t>
            </w:r>
          </w:p>
        </w:tc>
      </w:tr>
    </w:tbl>
    <w:p>
      <w:r>
        <w:br w:type="page"/>
      </w:r>
    </w:p>
    <w:p>
      <w:pPr>
        <w:pStyle w:val="Heading2"/>
      </w:pPr>
      <w:r>
        <w:t>Canonical Business Entity Operation Applicability Matrix / 業務實體操作適用性矩陣</w:t>
      </w:r>
    </w:p>
    <w:p>
      <w:r>
        <w:t>Authority: Current Word design + Mother §71 bounded completion. 本矩陣只正規化既有行為與目前未授權行為；不得據此新增 Business Entity、Operation、Runtime 或 API。 Current tree: b2f81b20322dd9e9268001126b07931b437e27df.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008"/>
        <w:gridCol w:w="4008"/>
        <w:gridCol w:w="4008"/>
        <w:gridCol w:w="4008"/>
      </w:tblGrid>
      <w:tr>
        <w:trPr>
          <w:tblHeader w:val="true"/>
        </w:trPr>
        <w:tc>
          <w:tcPr>
            <w:tcW w:type="dxa" w:w="4008"/>
          </w:tcPr>
          <w:p>
            <w:r/>
            <w:r>
              <w:rPr>
                <w:b/>
                <w:sz w:val="14"/>
              </w:rPr>
              <w:t>Entity</w:t>
            </w:r>
          </w:p>
        </w:tc>
        <w:tc>
          <w:tcPr>
            <w:tcW w:type="dxa" w:w="4008"/>
          </w:tcPr>
          <w:p>
            <w:r/>
            <w:r>
              <w:rPr>
                <w:b/>
                <w:sz w:val="14"/>
              </w:rPr>
              <w:t>Operation</w:t>
            </w:r>
          </w:p>
        </w:tc>
        <w:tc>
          <w:tcPr>
            <w:tcW w:type="dxa" w:w="4008"/>
          </w:tcPr>
          <w:p>
            <w:r/>
            <w:r>
              <w:rPr>
                <w:b/>
                <w:sz w:val="14"/>
              </w:rPr>
              <w:t>Applicability</w:t>
            </w:r>
          </w:p>
        </w:tc>
        <w:tc>
          <w:tcPr>
            <w:tcW w:type="dxa" w:w="4008"/>
          </w:tcPr>
          <w:p>
            <w:r/>
            <w:r>
              <w:rPr>
                <w:b/>
                <w:sz w:val="14"/>
              </w:rPr>
              <w:t>Authority Evidence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Attempt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Attempt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Attempt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Attempt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Attempt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Attempt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Attempt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Attempt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Attempt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Attempt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Attempt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Attempt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Attempt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Attempt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Attempt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Attempt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Attempt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Attempt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Attempt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Attempt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Attempt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Attempt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Attempt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CostBudgetIncident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lifecycle matrix dash normalized to NOT_APPLICABLE; no operation is authorized in this current matrix cell. T5R11[—]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CostBudgetIncident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T5R11[R]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CostBudgetIncident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CostBudgetIncident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entity-bound operation evidence normalized to REQUIRED. T5R11[High-risk]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CostBudgetIncident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entity-bound operation evidence normalized to REQUIRED. T5R11[Runtime]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CostBudgetIncident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CostBudgetIncident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CostBudgetIncident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T5R11[R]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CostBudgetIncident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CostBudgetIncident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entity-bound operation evidence normalized to REQUIRED. T5R11[Governed]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CostBudgetIncident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T5R11[R]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CostBudgetIncident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CostBudgetIncident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CostBudgetIncident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CostBudgetIncident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CostBudgetIncident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CostBudgetIncident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CostBudgetIncident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CostBudgetIncident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CostBudgetIncident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CostBudgetIncident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T5R11[R]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CostBudgetIncident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T5R11[R]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CostBudgetIncident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T5R11[R]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CredentialReference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entity-bound operation evidence normalized to REQUIRED. T5R3[Delete]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CredentialReference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T5R3[R]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CredentialReference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CredentialReference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T5R3[R]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CredentialReference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lifecycle matrix dash normalized to NOT_APPLICABLE; no operation is authorized in this current matrix cell. T5R3[—]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CredentialReference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CredentialReference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CredentialReference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T5R3[R]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CredentialReference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CredentialReference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entity-bound operation evidence normalized to REQUIRED. T5R3[Set/Delete]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CredentialReference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T5R3[R]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CredentialReference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CredentialReference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CredentialReference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CredentialReference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CredentialReference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CredentialReference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CredentialReference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CredentialReference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CredentialReference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CredentialReference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T5R3[R]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CredentialReference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lifecycle matrix dash normalized to NOT_APPLICABLE; no operation is authorized in this current matrix cell. T5R3[—]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CredentialReference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lifecycle matrix dash normalized to NOT_APPLICABLE; no operation is authorized in this current matrix cell. T5R3[—]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GovernedCapabilityResource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entity-bound operation evidence normalized to REQUIRED. T5R4[Disable]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GovernedCapabilityResource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T5R4[R]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GovernedCapabilityResource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GovernedCapabilityResource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entity-bound operation evidence normalized to REQUIRED. T5R4[Approve]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GovernedCapabilityResource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lifecycle matrix dash normalized to NOT_APPLICABLE; no operation is authorized in this current matrix cell. T5R4[—]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GovernedCapabilityResource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GovernedCapabilityResource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GovernedCapabilityResource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T5R4[R]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GovernedCapabilityResource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GovernedCapabilityResource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entity-bound operation evidence normalized to REQUIRED. T5R4[Configure]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GovernedCapabilityResource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T5R4[R]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GovernedCapabilityResource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GovernedCapabilityResource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GovernedCapabilityResource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GovernedCapabilityResource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GovernedCapabilityResource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GovernedCapabilityResource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GovernedCapabilityResource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GovernedCapabilityResource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GovernedCapabilityResource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GovernedCapabilityResource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T5R4[R]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GovernedCapabilityResource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T5R4[R]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GovernedCapabilityResource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T5R4[R]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Incident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Incident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Incident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Incident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Incident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Incident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Incident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Incident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Incident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Incident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Incident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Incident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Incident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Incident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Incident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Incident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Incident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Incident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Incident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Incident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Incident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Incident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Incident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InstructionCompileAudit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lifecycle matrix dash normalized to NOT_APPLICABLE; no operation is authorized in this current matrix cell. T5R12[—]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InstructionCompileAudit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T5R12[R]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InstructionCompileAudit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InstructionCompileAudit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lifecycle matrix dash normalized to NOT_APPLICABLE; no operation is authorized in this current matrix cell. T5R12[—]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InstructionCompileAudit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entity-bound operation evidence normalized to REQUIRED. T5R12[Runtime]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InstructionCompileAudit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InstructionCompileAudit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InstructionCompileAudit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T5R12[R]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InstructionCompileAudit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InstructionCompileAudit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entity-bound operation evidence normalized to REQUIRED. T5R12[Profile-only]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InstructionCompileAudit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T5R12[R]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InstructionCompileAudit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InstructionCompileAudit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InstructionCompileAudit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InstructionCompileAudit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InstructionCompileAudit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InstructionCompileAudit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InstructionCompileAudit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InstructionCompileAudit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InstructionCompileAudit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InstructionCompileAudit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T5R12[R]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InstructionCompileAudit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T5R12[R]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InstructionCompileAudit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T5R12[R]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Job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ProviderCandidateGroup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lifecycle matrix dash normalized to NOT_APPLICABLE; no operation is authorized in this current matrix cell. T5R5[—]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ProviderCandidateGroup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T5R5[R]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ProviderCandidateGroup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ProviderCandidateGroup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lifecycle matrix dash normalized to NOT_APPLICABLE; no operation is authorized in this current matrix cell. T5R5[—]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ProviderCandidateGroup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entity-bound operation evidence normalized to REQUIRED. T5R5[Create]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ProviderCandidateGroup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ProviderCandidateGroup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ProviderCandidateGroup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T5R5[R]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ProviderCandidateGroup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ProviderCandidateGroup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entity-bound operation evidence normalized to REQUIRED. T5R5[Bounded]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ProviderCandidateGroup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T5R5[R]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ProviderCandidateGroup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ProviderCandidateGroup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ProviderCandidateGroup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ProviderCandidateGroup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ProviderCandidateGroup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ProviderCandidateGroup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ProviderCandidateGroup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ProviderCandidateGroup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ProviderCandidateGroup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ProviderCandidateGroup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T5R5[R]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ProviderCandidateGroup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T5R5[R]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ProviderCandidateGroup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T5R5[R]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ProviderJobAttempt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lifecycle matrix dash normalized to NOT_APPLICABLE; no operation is authorized in this current matrix cell. T5R10[—]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ProviderJobAttempt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T5R10[R]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ProviderJobAttempt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ProviderJobAttempt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lifecycle matrix dash normalized to NOT_APPLICABLE; no operation is authorized in this current matrix cell. T5R10[—]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ProviderJobAttempt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entity-bound operation evidence normalized to REQUIRED. T5R10[Runtime]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ProviderJobAttempt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ProviderJobAttempt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ProviderJobAttempt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T5R10[R]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ProviderJobAttempt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ProviderJobAttempt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entity-bound operation evidence normalized to REQUIRED. T5R10[Runtime]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ProviderJobAttempt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T5R10[R]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ProviderJobAttempt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ProviderJobAttempt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ProviderJobAttempt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ProviderJobAttempt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ProviderJobAttempt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ProviderJobAttempt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ProviderJobAttempt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ProviderJobAttempt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ProviderJobAttempt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ProviderJobAttempt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T5R10[R]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ProviderJobAttempt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T5R10[R]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ProviderJobAttempt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T5R10[R]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ProviderModelProfile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entity-bound operation evidence normalized to REQUIRED. T5R2[Retire]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ProviderModelProfile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T5R2[R]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ProviderModelProfile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ProviderModelProfile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T5R2[R]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ProviderModelProfile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T5R2[R]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ProviderModelProfile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ProviderModelProfile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ProviderModelProfile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T5R2[R]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ProviderModelProfile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ProviderModelProfile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T5R2[R]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ProviderModelProfile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T5R2[R]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ProviderModelProfile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ProviderModelProfile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ProviderModelProfile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ProviderModelProfile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ProviderModelProfile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ProviderModelProfile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ProviderModelProfile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ProviderModelProfile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ProviderModelProfile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ProviderModelProfile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T5R2[R]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ProviderModelProfile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T5R2[R]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ProviderModelProfile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T5R2[R]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QuarantineRecord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lifecycle matrix dash normalized to NOT_APPLICABLE; no operation is authorized in this current matrix cell. T5R9[—]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QuarantineRecord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T5R9[R]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QuarantineRecord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QuarantineRecord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entity-bound operation evidence normalized to REQUIRED. T5R9[Confirm]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QuarantineRecord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lifecycle matrix dash normalized to NOT_APPLICABLE; no operation is authorized in this current matrix cell. T5R9[—]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QuarantineRecord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QuarantineRecord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QuarantineRecord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T5R9[R]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QuarantineRecord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QuarantineRecord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entity-bound operation evidence normalized to REQUIRED. T5R9[Restore]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QuarantineRecord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T5R9[R]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QuarantineRecord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QuarantineRecord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QuarantineRecord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QuarantineRecord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QuarantineRecord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QuarantineRecord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QuarantineRecord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QuarantineRecord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QuarantineRecord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QuarantineRecord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T5R9[R]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QuarantineRecord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T5R9[R]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QuarantineRecord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T5R9[R]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RouteDecision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lifecycle matrix dash normalized to NOT_APPLICABLE; no operation is authorized in this current matrix cell. T5R8[—]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RouteDecision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T5R8[R]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RouteDecision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RouteDecision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lifecycle matrix dash normalized to NOT_APPLICABLE; no operation is authorized in this current matrix cell. T5R8[—]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RouteDecision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entity-bound operation evidence normalized to REQUIRED. T5R8[Execute]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RouteDecision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RouteDecision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RouteDecision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T5R8[R]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RouteDecision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RouteDecision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lifecycle matrix dash normalized to NOT_APPLICABLE; no operation is authorized in this current matrix cell. T5R8[—]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RouteDecision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T5R8[R]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RouteDecision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RouteDecision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RouteDecision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RouteDecision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RouteDecision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RouteDecision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RouteDecision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RouteDecision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RouteDecision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RouteDecision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T5R8[R]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RouteDecision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T5R8[R]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RouteDecision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T5R8[R]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RoutePreflight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lifecycle matrix dash normalized to NOT_APPLICABLE; no operation is authorized in this current matrix cell. T5R6[—]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RoutePreflight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T5R6[R]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RoutePreflight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RoutePreflight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lifecycle matrix dash normalized to NOT_APPLICABLE; no operation is authorized in this current matrix cell. T5R6[—]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RoutePreflight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lifecycle matrix dash normalized to NOT_APPLICABLE; no operation is authorized in this current matrix cell. T5R6[—]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RoutePreflight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RoutePreflight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RoutePreflight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T5R6[R]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RoutePreflight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RoutePreflight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lifecycle matrix dash normalized to NOT_APPLICABLE; no operation is authorized in this current matrix cell. T5R6[—]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RoutePreflight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T5R6[R]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RoutePreflight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RoutePreflight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RoutePreflight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RoutePreflight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RoutePreflight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RoutePreflight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RoutePreflight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RoutePreflight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RoutePreflight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RoutePreflight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T5R6[R]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RoutePreflight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T5R6[R]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RoutePreflight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T5R6[R]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SandboxTest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lifecycle matrix dash normalized to NOT_APPLICABLE; no operation is authorized in this current matrix cell. T5R7[—]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SandboxTest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T5R7[R]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SandboxTest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SandboxTest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lifecycle matrix dash normalized to NOT_APPLICABLE; no operation is authorized in this current matrix cell. T5R7[—]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SandboxTest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entity-bound operation evidence normalized to REQUIRED. T5R7[Run]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SandboxTest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SandboxTest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SandboxTest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T5R7[R]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SandboxTest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SandboxTest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lifecycle matrix dash normalized to NOT_APPLICABLE; no operation is authorized in this current matrix cell. T5R7[—]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SandboxTest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T5R7[R]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SandboxTest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SandboxTest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SandboxTest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SandboxTest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SandboxTest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SandboxTest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SandboxTest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SandboxTest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SandboxTest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SandboxTest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T5R7[R]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SandboxTest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T5R7[R]</w:t>
            </w:r>
          </w:p>
        </w:tc>
      </w:tr>
      <w:tr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SandboxTest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REQUIRED</w:t>
            </w:r>
          </w:p>
        </w:tc>
        <w:tc>
          <w:tcPr>
            <w:tcW w:type="dxa" w:w="4008"/>
          </w:tcPr>
          <w:p>
            <w:r/>
            <w:r>
              <w:rPr>
                <w:b w:val="0"/>
                <w:sz w:val="14"/>
              </w:rPr>
              <w:t>Current explicit applicability preserved. T5R7[R]</w:t>
            </w:r>
          </w:p>
        </w:tc>
      </w:tr>
    </w:tbl>
    <w:p>
      <w:r>
        <w:br w:type="page"/>
      </w:r>
    </w:p>
    <w:p>
      <w:pPr>
        <w:pStyle w:val="Heading1"/>
      </w:pPr>
      <w:r>
        <w:t>Mother Planning / Basic Design Closure Annex｜規劃設計規範閉環補充</w:t>
      </w:r>
    </w:p>
    <w:p>
      <w:r>
        <w:t>[ACPOS-20260922-PLANNING-DESIGN-CLOSURE-ANNEX-V1]</w:t>
      </w:r>
      <w:r>
        <w:t xml:space="preserve"> 本附錄只補規劃／基本設計規範缺口；原頁面既有功能、Owner、Operation、Permission、Entity、Visual 與跨頁 Authority 仍為同一 Canonical Owner。不得由本附錄發明 Runtime/API/DB/Provider 行為，也不得建立第二套平行規範。</w:t>
      </w:r>
    </w:p>
    <w:p>
      <w:pPr>
        <w:pStyle w:val="Heading2"/>
      </w:pPr>
      <w:r>
        <w:t>Design System / Layout Closure｜設計系統與版面補齊</w:t>
      </w:r>
    </w:p>
    <w:p>
      <w:r>
        <w:t>[ACPOS-DESIGN-CLOSURE:AIAPI-01:DESIGN-SYSTEM]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16"/>
        <w:gridCol w:w="8016"/>
      </w:tblGrid>
      <w:tr>
        <w:tc>
          <w:tcPr>
            <w:tcW w:type="dxa" w:w="8016"/>
          </w:tcPr>
          <w:p>
            <w:r>
              <w:t>Design Item / 設計項目</w:t>
            </w:r>
          </w:p>
        </w:tc>
        <w:tc>
          <w:tcPr>
            <w:tcW w:type="dxa" w:w="8016"/>
          </w:tcPr>
          <w:p>
            <w:r>
              <w:t>Canonical Planning Design Contract / 正式規劃設計契約</w:t>
            </w:r>
          </w:p>
        </w:tc>
      </w:tr>
      <w:tr>
        <w:tc>
          <w:tcPr>
            <w:tcW w:type="dxa" w:w="8016"/>
          </w:tcPr>
          <w:p>
            <w:r>
              <w:t>Color Tokens</w:t>
            </w:r>
          </w:p>
        </w:tc>
        <w:tc>
          <w:tcPr>
            <w:tcW w:type="dxa" w:w="8016"/>
          </w:tcPr>
          <w:p>
            <w:r>
              <w:t>SHARED_OWNER_REFERENCE → current Global Home / Shell Design System tech-purple token set; existing page-local approved override, if any, remains authoritative.</w:t>
            </w:r>
          </w:p>
        </w:tc>
      </w:tr>
      <w:tr>
        <w:tc>
          <w:tcPr>
            <w:tcW w:type="dxa" w:w="8016"/>
          </w:tcPr>
          <w:p>
            <w:r>
              <w:t>Typography Tokens</w:t>
            </w:r>
          </w:p>
        </w:tc>
        <w:tc>
          <w:tcPr>
            <w:tcW w:type="dxa" w:w="8016"/>
          </w:tcPr>
          <w:p>
            <w:r>
              <w:t>SHARED_OWNER_REFERENCE → current Global Design System typography; page-local text hierarchy may only use registered heading/body/label/technical text roles.</w:t>
            </w:r>
          </w:p>
        </w:tc>
      </w:tr>
      <w:tr>
        <w:tc>
          <w:tcPr>
            <w:tcW w:type="dxa" w:w="8016"/>
          </w:tcPr>
          <w:p>
            <w:r>
              <w:t>Spacing Tokens</w:t>
            </w:r>
          </w:p>
        </w:tc>
        <w:tc>
          <w:tcPr>
            <w:tcW w:type="dxa" w:w="8016"/>
          </w:tcPr>
          <w:p>
            <w:r>
              <w:t>Use registered gap/padding/spacing tokens; existing exact page gaps remain authoritative; no ad-hoc pixel drift.</w:t>
            </w:r>
          </w:p>
        </w:tc>
      </w:tr>
      <w:tr>
        <w:tc>
          <w:tcPr>
            <w:tcW w:type="dxa" w:w="8016"/>
          </w:tcPr>
          <w:p>
            <w:r>
              <w:t>Component States</w:t>
            </w:r>
          </w:p>
        </w:tc>
        <w:tc>
          <w:tcPr>
            <w:tcW w:type="dxa" w:w="8016"/>
          </w:tcPr>
          <w:p>
            <w:r>
              <w:t>Default / Hover / Focus / Active / Loading / Disabled / Success / Error MUST NOT change the approved component footprint unless the current component contract explicitly allows it.</w:t>
            </w:r>
          </w:p>
        </w:tc>
      </w:tr>
      <w:tr>
        <w:tc>
          <w:tcPr>
            <w:tcW w:type="dxa" w:w="8016"/>
          </w:tcPr>
          <w:p>
            <w:r>
              <w:t>Primary Layout</w:t>
            </w:r>
          </w:p>
        </w:tc>
        <w:tc>
          <w:tcPr>
            <w:tcW w:type="dxa" w:w="8016"/>
          </w:tcPr>
          <w:p>
            <w:r>
              <w:t>Use this Word's existing Primary Grid / Section / Workspace layout as the page-local authority; this annex introduces no second grid.</w:t>
            </w:r>
          </w:p>
        </w:tc>
      </w:tr>
      <w:tr>
        <w:tc>
          <w:tcPr>
            <w:tcW w:type="dxa" w:w="8016"/>
          </w:tcPr>
          <w:p>
            <w:r>
              <w:t>Navigation Region</w:t>
            </w:r>
          </w:p>
        </w:tc>
        <w:tc>
          <w:tcPr>
            <w:tcW w:type="dxa" w:w="8016"/>
          </w:tcPr>
          <w:p>
            <w:r>
              <w:t>Global Header and collapsible/overlay Sidebar remain shared shell regions; page Workspace starts in the registered content region.</w:t>
            </w:r>
          </w:p>
        </w:tc>
      </w:tr>
      <w:tr>
        <w:tc>
          <w:tcPr>
            <w:tcW w:type="dxa" w:w="8016"/>
          </w:tcPr>
          <w:p>
            <w:r>
              <w:t>Responsive Behavior</w:t>
            </w:r>
          </w:p>
        </w:tc>
        <w:tc>
          <w:tcPr>
            <w:tcW w:type="dxa" w:w="8016"/>
          </w:tcPr>
          <w:p>
            <w:r>
              <w:t>Use the current page responsive rule and shared shell breakpoint owner; semantic order and functional topology MUST remain stable across reflow.</w:t>
            </w:r>
          </w:p>
        </w:tc>
      </w:tr>
      <w:tr>
        <w:tc>
          <w:tcPr>
            <w:tcW w:type="dxa" w:w="8016"/>
          </w:tcPr>
          <w:p>
            <w:r>
              <w:t>Design Ownership</w:t>
            </w:r>
          </w:p>
        </w:tc>
        <w:tc>
          <w:tcPr>
            <w:tcW w:type="dxa" w:w="8016"/>
          </w:tcPr>
          <w:p>
            <w:r>
              <w:t>Page owns page-local layout/components; Global Shell owns shared header/sidebar/tokens; references only, no duplicated shared payload.</w:t>
            </w:r>
          </w:p>
        </w:tc>
      </w:tr>
    </w:tbl>
    <w:p>
      <w:pPr>
        <w:pStyle w:val="Heading2"/>
      </w:pPr>
      <w:r>
        <w:t>Visual Geometry Contract Closure｜視覺幾何補齊</w:t>
      </w:r>
    </w:p>
    <w:p>
      <w:r>
        <w:t>[ACPOS-DESIGN-CLOSURE:AIAPI-01:GEOMETRY]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16"/>
        <w:gridCol w:w="8016"/>
      </w:tblGrid>
      <w:tr>
        <w:tc>
          <w:tcPr>
            <w:tcW w:type="dxa" w:w="8016"/>
          </w:tcPr>
          <w:p>
            <w:r>
              <w:t>Design Item / 設計項目</w:t>
            </w:r>
          </w:p>
        </w:tc>
        <w:tc>
          <w:tcPr>
            <w:tcW w:type="dxa" w:w="8016"/>
          </w:tcPr>
          <w:p>
            <w:r>
              <w:t>Canonical Planning Design Contract / 正式規劃設計契約</w:t>
            </w:r>
          </w:p>
        </w:tc>
      </w:tr>
      <w:tr>
        <w:tc>
          <w:tcPr>
            <w:tcW w:type="dxa" w:w="8016"/>
          </w:tcPr>
          <w:p>
            <w:r>
              <w:t>Viewport / Breakpoint UID</w:t>
            </w:r>
          </w:p>
        </w:tc>
        <w:tc>
          <w:tcPr>
            <w:tcW w:type="dxa" w:w="8016"/>
          </w:tcPr>
          <w:p>
            <w:r>
              <w:t>SHARED_OWNER_REFERENCE → current Global Home breakpoint contract; page-specific breakpoint/reflow rules in this Word override only where explicitly registered.</w:t>
            </w:r>
          </w:p>
        </w:tc>
      </w:tr>
      <w:tr>
        <w:tc>
          <w:tcPr>
            <w:tcW w:type="dxa" w:w="8016"/>
          </w:tcPr>
          <w:p>
            <w:r>
              <w:t>Container Width / Min / Max</w:t>
            </w:r>
          </w:p>
        </w:tc>
        <w:tc>
          <w:tcPr>
            <w:tcW w:type="dxa" w:w="8016"/>
          </w:tcPr>
          <w:p>
            <w:r>
              <w:t>Retain current Global Shell + page Primary Grid width contract. No page-local implicit width may override an existing exact dimension.</w:t>
            </w:r>
          </w:p>
        </w:tc>
      </w:tr>
      <w:tr>
        <w:tc>
          <w:tcPr>
            <w:tcW w:type="dxa" w:w="8016"/>
          </w:tcPr>
          <w:p>
            <w:r>
              <w:t>Grid Columns / Span / Gutter / Outer Margin</w:t>
            </w:r>
          </w:p>
        </w:tc>
        <w:tc>
          <w:tcPr>
            <w:tcW w:type="dxa" w:w="8016"/>
          </w:tcPr>
          <w:p>
            <w:r>
              <w:t>Use the existing page Primary Grid / section mapping and current gap/margin values; any structural grid change requires Change Set.</w:t>
            </w:r>
          </w:p>
        </w:tc>
      </w:tr>
      <w:tr>
        <w:tc>
          <w:tcPr>
            <w:tcW w:type="dxa" w:w="8016"/>
          </w:tcPr>
          <w:p>
            <w:r>
              <w:t>Section Bounding Rules</w:t>
            </w:r>
          </w:p>
        </w:tc>
        <w:tc>
          <w:tcPr>
            <w:tcW w:type="dxa" w:w="8016"/>
          </w:tcPr>
          <w:p>
            <w:r>
              <w:t>Every registered Section remains within its current Workspace region; sticky/fixed/overlay areas MUST NOT occlude required controls.</w:t>
            </w:r>
          </w:p>
        </w:tc>
      </w:tr>
      <w:tr>
        <w:tc>
          <w:tcPr>
            <w:tcW w:type="dxa" w:w="8016"/>
          </w:tcPr>
          <w:p>
            <w:r>
              <w:t>Component / Control / Field Width / Height Rules</w:t>
            </w:r>
          </w:p>
        </w:tc>
        <w:tc>
          <w:tcPr>
            <w:tcW w:type="dxa" w:w="8016"/>
          </w:tcPr>
          <w:p>
            <w:r>
              <w:t>Use current Control/Field Dimensions or shared component token. State transitions MUST NOT cause layout jump.</w:t>
            </w:r>
          </w:p>
        </w:tc>
      </w:tr>
      <w:tr>
        <w:tc>
          <w:tcPr>
            <w:tcW w:type="dxa" w:w="8016"/>
          </w:tcPr>
          <w:p>
            <w:r>
              <w:t>Min / Max Width / Height</w:t>
            </w:r>
          </w:p>
        </w:tc>
        <w:tc>
          <w:tcPr>
            <w:tcW w:type="dxa" w:w="8016"/>
          </w:tcPr>
          <w:p>
            <w:r>
              <w:t>Inherit current exact values where present; otherwise shared component minimums apply. Required input/button content may not compress below its registered usable size.</w:t>
            </w:r>
          </w:p>
        </w:tc>
      </w:tr>
      <w:tr>
        <w:tc>
          <w:tcPr>
            <w:tcW w:type="dxa" w:w="8016"/>
          </w:tcPr>
          <w:p>
            <w:r>
              <w:t>Gap / Padding / Alignment</w:t>
            </w:r>
          </w:p>
        </w:tc>
        <w:tc>
          <w:tcPr>
            <w:tcW w:type="dxa" w:w="8016"/>
          </w:tcPr>
          <w:p>
            <w:r>
              <w:t>Use current page spacing/grid tokens; alignment changes outside token tolerance require Visual Review.</w:t>
            </w:r>
          </w:p>
        </w:tc>
      </w:tr>
      <w:tr>
        <w:tc>
          <w:tcPr>
            <w:tcW w:type="dxa" w:w="8016"/>
          </w:tcPr>
          <w:p>
            <w:r>
              <w:t>Aspect Ratio</w:t>
            </w:r>
          </w:p>
        </w:tc>
        <w:tc>
          <w:tcPr>
            <w:tcW w:type="dxa" w:w="8016"/>
          </w:tcPr>
          <w:p>
            <w:r>
              <w:t>NOT_APPLICABLE unless the current page declares an image/video/preview ratio; when declared, the exact current ratio remains authoritative.</w:t>
            </w:r>
          </w:p>
        </w:tc>
      </w:tr>
      <w:tr>
        <w:tc>
          <w:tcPr>
            <w:tcW w:type="dxa" w:w="8016"/>
          </w:tcPr>
          <w:p>
            <w:r>
              <w:t>Overflow / Scroll Rule</w:t>
            </w:r>
          </w:p>
        </w:tc>
        <w:tc>
          <w:tcPr>
            <w:tcW w:type="dxa" w:w="8016"/>
          </w:tcPr>
          <w:p>
            <w:r>
              <w:t>No hidden overflow for actionable content. Long technical values use existing ellipsis + tooltip/drawer rule; large tables may use the current controlled horizontal-scroll rule.</w:t>
            </w:r>
          </w:p>
        </w:tc>
      </w:tr>
      <w:tr>
        <w:tc>
          <w:tcPr>
            <w:tcW w:type="dxa" w:w="8016"/>
          </w:tcPr>
          <w:p>
            <w:r>
              <w:t>Collapse / Stack / Wrap Rule</w:t>
            </w:r>
          </w:p>
        </w:tc>
        <w:tc>
          <w:tcPr>
            <w:tcW w:type="dxa" w:w="8016"/>
          </w:tcPr>
          <w:p>
            <w:r>
              <w:t>Reflow may stack/collapse only within the current responsive contract; semantic order, required adjacency and operation order MUST NOT change.</w:t>
            </w:r>
          </w:p>
        </w:tc>
      </w:tr>
      <w:tr>
        <w:tc>
          <w:tcPr>
            <w:tcW w:type="dxa" w:w="8016"/>
          </w:tcPr>
          <w:p>
            <w:r>
              <w:t>Z-order / Overlay Rule</w:t>
            </w:r>
          </w:p>
        </w:tc>
        <w:tc>
          <w:tcPr>
            <w:tcW w:type="dxa" w:w="8016"/>
          </w:tcPr>
          <w:p>
            <w:r>
              <w:t>Global Header / Sidebar overlay / Dialog / Drawer layers remain above Workspace without blocking required content; overlay expansion MUST NOT reflow the primary Workspace unless explicitly specified.</w:t>
            </w:r>
          </w:p>
        </w:tc>
      </w:tr>
      <w:tr>
        <w:tc>
          <w:tcPr>
            <w:tcW w:type="dxa" w:w="8016"/>
          </w:tcPr>
          <w:p>
            <w:r>
              <w:t>Text Capacity / Truncation / Wrap Rule</w:t>
            </w:r>
          </w:p>
        </w:tc>
        <w:tc>
          <w:tcPr>
            <w:tcW w:type="dxa" w:w="8016"/>
          </w:tcPr>
          <w:p>
            <w:r>
              <w:t>Required labels/status/error text may not be clipped. Long IDs/technical values use controlled ellipsis with recoverable full value; no silent semantic truncation.</w:t>
            </w:r>
          </w:p>
        </w:tc>
      </w:tr>
      <w:tr>
        <w:tc>
          <w:tcPr>
            <w:tcW w:type="dxa" w:w="8016"/>
          </w:tcPr>
          <w:p>
            <w:r>
              <w:t>Asset Object-fit / Object-position</w:t>
            </w:r>
          </w:p>
        </w:tc>
        <w:tc>
          <w:tcPr>
            <w:tcW w:type="dxa" w:w="8016"/>
          </w:tcPr>
          <w:p>
            <w:r>
              <w:t>REFERENCE_ONLY → current Asset Binding owner when a formal visual asset exists; otherwise NOT_APPLICABLE.</w:t>
            </w:r>
          </w:p>
        </w:tc>
      </w:tr>
      <w:tr>
        <w:tc>
          <w:tcPr>
            <w:tcW w:type="dxa" w:w="8016"/>
          </w:tcPr>
          <w:p>
            <w:r>
              <w:t>Locked Visual Anchors</w:t>
            </w:r>
          </w:p>
        </w:tc>
        <w:tc>
          <w:tcPr>
            <w:tcW w:type="dxa" w:w="8016"/>
          </w:tcPr>
          <w:p>
            <w:r>
              <w:t>Bound to the Visual Anchor Registry in this annex; unlisted regions are not implicitly editable.</w:t>
            </w:r>
          </w:p>
        </w:tc>
      </w:tr>
      <w:tr>
        <w:tc>
          <w:tcPr>
            <w:tcW w:type="dxa" w:w="8016"/>
          </w:tcPr>
          <w:p>
            <w:r>
              <w:t>Allowed Tolerance / Diff Threshold</w:t>
            </w:r>
          </w:p>
        </w:tc>
        <w:tc>
          <w:tcPr>
            <w:tcW w:type="dxa" w:w="8016"/>
          </w:tcPr>
          <w:p>
            <w:r>
              <w:t>Locked anchors and structural grid: zero unapproved drift. Token-level micro adjustment is allowed only inside current Design Token/Layout rules; structural changes require Change Set + re-review.</w:t>
            </w:r>
          </w:p>
        </w:tc>
      </w:tr>
      <w:tr>
        <w:tc>
          <w:tcPr>
            <w:tcW w:type="dxa" w:w="8016"/>
          </w:tcPr>
          <w:p>
            <w:r>
              <w:t>Geometry Failure Set</w:t>
            </w:r>
          </w:p>
        </w:tc>
        <w:tc>
          <w:tcPr>
            <w:tcW w:type="dxa" w:w="8016"/>
          </w:tcPr>
          <w:p>
            <w:r>
              <w:t>Detect overlap, clipping, horizontal overflow, unapproved scroll, control compression, unexpected wrap/stack, aspect drift, misalignment, sticky/fixed occlusion and header/sidebar/workspace collision.</w:t>
            </w:r>
          </w:p>
        </w:tc>
      </w:tr>
    </w:tbl>
    <w:sectPr w:rsidR="00FC693F" w:rsidRPr="0006063C" w:rsidSect="00034616">
      <w:pgSz w:w="16838" w:h="11906" w:orient="landscape"/>
      <w:pgMar w:top="475" w:right="403" w:bottom="475" w:left="403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AIAPI-01 AI API 管理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ORANGE ONE  ·  AIAPI-01  ·  Mother Basic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D349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5840A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TC" w:hAnsi="Noto Sans CJK TC" w:eastAsia="Noto Sans CJK TC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TC" w:hAnsi="Noto Sans CJK TC" w:eastAsia="Noto Sans CJK TC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SOC-01 社群發布 Mother Basic Design Optimized</dc:title>
  <dc:subject>ACPOS Social Publishing Basic Design</dc:subject>
  <dc:creator>ORANGE ONE</dc:creator>
  <cp:keywords>SOC-01, Social Publishing, ACPOS, Basic Design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