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admin STR-01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戰略中心後台｜Mother Basic Design</w:t>
      </w:r>
    </w:p>
    <w:p>
      <w:pPr>
        <w:spacing w:after="140"/>
      </w:pPr>
      <w:r>
        <w:rPr>
          <w:rFonts w:ascii="Noto Sans CJK TC" w:hAnsi="Noto Sans CJK TC" w:eastAsia="Noto Sans CJK TC"/>
          <w:b/>
          <w:color w:val="5840A0"/>
          <w:sz w:val="20"/>
        </w:rPr>
        <w:t>Strategy Administration · Intelligence / Fact · Playbook · Opportunity · Decision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頁面身份</w:t>
            </w:r>
          </w:p>
        </w:tc>
        <w:tc>
          <w:tcPr>
            <w:tcW w:type="dxa" w:w="72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admin:STR-01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戰略中心後台 / Strategy Center Administration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Current UX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/ 5 same-page views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Owner Boundary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StrategyService + StrategyFactPackService；禁止 merge/rebuild 第二套服務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Route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由 Current Navigation Authority 解譯；本頁禁止自行推導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Data Truth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Real projection only；缺值 = —；Inference 不得冒充 Fact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Status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Page Role / 前台與後台責任邊界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admin STR-01 戰略中心後台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workspace STR-01 戰略中心工作區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主要角色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 Source / Fact / Playbook / Opportunity / Decision Candidate、審批與可追溯性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策略 AI 對話、分析、方案比較、Human Review 與決策輔助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AI Conversation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不作為主工作面；不得複製前台 Conversation Core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正式 Strategic AI Conversation 使用面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資料管理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管理治理物件、品質、版本、Scope、Retention、Citation、Fact Registry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消費受治理的 Strategic Context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決策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Lab 比較候選、記錄理由、建立 governed handoff/context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人類審查策略建議並形成決策紀錄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直接寫 Canon Lock / Task / Budget / Publish、建立第二套 Strategy Service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取代 Finance / Workflow / Governance / Production owner 執行權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核心裁決｜</w:t>
            </w:r>
            <w:r>
              <w:rPr>
                <w:rFonts w:ascii="Noto Sans CJK TC" w:hAnsi="Noto Sans CJK TC" w:eastAsia="Noto Sans CJK TC"/>
                <w:sz w:val="16"/>
              </w:rPr>
              <w:t>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49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5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唯一 Owner 邊界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外部/內部情報來源、Scope、Quality、Retention、Health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 / shared acquisition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可追溯 Fact、Citation、Completeness、Confidence/Quality state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Watchlist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受治理觀察範圍與追蹤項目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projection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平台 Profile、Account Scope、Playbook、Hypothesis、Evidence、Version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Trend/Momentum/Forecast 產生的策略機會候選；非正式決策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可比較/拒絕/採納為 Context 的決策候選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DecisionContext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候選、Evidence、Risk/Cost/Capacity、Gate、Human Reason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受治理的跨模組 Context handoff；不是執行命令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downstream owner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AuditEvidence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Source/version/citation/correlation/approval/decision lineage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existing owners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2"/>
        <w:gridCol w:w="116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Discover/List</w:t>
            </w:r>
          </w:p>
        </w:tc>
        <w:tc>
          <w:tcPr>
            <w:tcW w:type="dxa" w:w="69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Create/Edit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Approve/Decide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Search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Export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StrategicSource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StrategicFact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Watchlist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PlatformPlaybook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Save*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OpportunityCandidate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Reject/Decide*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DecisionContext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Human reason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Immutable lineage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</w:tbl>
    <w:p>
      <w:pPr>
        <w:spacing w:after="10"/>
      </w:pPr>
    </w:p>
    <w:p>
      <w:pPr>
        <w:spacing w:after="60"/>
      </w:pPr>
      <w:r>
        <w:rPr>
          <w:rFonts w:ascii="Noto Sans CJK TC" w:hAnsi="Noto Sans CJK TC" w:eastAsia="Noto Sans CJK TC"/>
          <w:b w:val="0"/>
          <w:color w:val="804D00"/>
          <w:sz w:val="15"/>
        </w:rPr>
        <w:t>* 表示 Effectful 動作：只有 exact Operation Registry + Page Permission + State/Version/Idempotency/Audit 綁定 materialize 後才可 Enable；否則保持 Disabled / BLOCK。</w:t>
      </w: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上游</w:t>
            </w:r>
          </w:p>
        </w:tc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關係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下游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不可破壞規則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evidence/source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來源、版本、時間、Scope、Quality 必須可追溯；外部資料不得覆蓋 Current internal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supports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/ Opportunity / Strategy Candidate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與 inference 分離；Confidence 不得由前端生成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versioned hypothesis/evidence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不是 Publish Command；版本 append-only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reviewed candidate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 / DecisionContext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不得自動改 Project / Budget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decide / adopt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 ≠ 正式下游執行；採納只產生受治理 Context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handoff ref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Owner Module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Budget→ERP/Finance；Production→Workflow/Department；Publish→Publishing owner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View</w:t>
            </w:r>
          </w:p>
        </w:tc>
        <w:tc>
          <w:tcPr>
            <w:tcW w:type="dxa" w:w="48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主要責任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 Action</w:t>
            </w:r>
          </w:p>
        </w:tc>
        <w:tc>
          <w:tcPr>
            <w:tcW w:type="dxa" w:w="1007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拓撲分類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戰略總覽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Summary、Source Health、Fact Quality、Watchlist、Risk Alert、Candidate Queue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Refresh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READ/SEARCH/REFRESH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情報與 Fact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Registry、Scope Policy、Quality、Retention、Fact Registry、Cohort、Market Map、Citation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Search / Export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+ READ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平台 Playbook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 Profile、Account Scope、Playbook、Hypothesis、Evidence、Version、Approval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 / Approve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+ APPROVAL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趨勢與機會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Trend、Momentum、Forecast、Opportunity Queue、Confidence、Evidence、Review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Candidate / Approve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決策實驗室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Context、Option Compare、Evidence、Risk/Cost/Capacity、Decision Gate、Handoff、Audit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Reject-Decide / Adopt Context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+ HANDOFF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Layout / Visual Geometry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Global Shell：Header 58px；workspace slot 從 x=78 / y=68 開始；Sidebar 預設只顯示 icon，展開為 overlay，不得讓本頁 reflow。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本頁：Top Context + 5 View Tabs + Main Work Area + Right Information Panel；Detail 使用 480–560px Drawer，Effectful action 使用 Modal。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桌面優先；同頁 reflow。不得建立 Mobile-only 第二頁。長值採 ellipsis + Drawer；隱藏 row click 禁止。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一個 context 最多一個 dominant Primary CTA；其餘 Secondary。Disabled effectful control 必須顯示可存取 disabled reason。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表格／卡片只顯示 real projection。禁止 sample strategy data、假 confidence、假 health、假 cost/capacity。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admin STR-01 戰略總覽與情報治理工作區參考設計" title="admin STR-01 戰略總覽與情報治理工作區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OVERVIEW_INTELLI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A｜戰略總覽：五個 View 同頁切換；左側主工作區呈現真實 Strategy Projection，右側固定顯示 Owner、Truth、Permission 與 Runtime Boundary。</w:t>
      </w:r>
    </w:p>
    <w:p>
      <w:pPr>
        <w:pStyle w:val="Heading1"/>
        <w:spacing w:before="80" w:after="40"/>
      </w:pPr>
      <w:r>
        <w:t>7. Functional Chain / 端到端功能鏈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Flow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Functional Chain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Search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Configure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Draft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Candidate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Trend/Forecast projection + evidence → Create Candidate → candidate owner → DRAFT/REVIEW → explicit approval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Compare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Strategy candidates → compareCandidates READ → normalized comparison projection → Human review → no mutation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Reject/Adopt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Operation / Runtime Binding &amp; Current Blockers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929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24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11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施工 Gate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getUiProjection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/v1/ui-projections/{pageUid}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 projection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projection route must resolve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/v1/search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admin STR-01 exact authorization context must resolve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/v1/projections/refresh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Source registry currently INFO-owned; STR binding must be exact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PATCH /v1/governance/resources/{id}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/v1/governance/resources/{id}/approve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/v1/drafts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draft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Reused source operation; exact STR source binding required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/v1/exports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Registry reports canonical export persistence owner blocker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/v1/candidates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compareCandidates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/v1/candidates/compare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comparison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COMPARE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read contract exists;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/v1/ai/strategy/candidates/{strategyCandidateId}/reject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DECIDE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/v1/state-commands/strategycandidate/adoptascontextcandidate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context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Current Runtime Truth｜</w:t>
            </w:r>
            <w:r>
              <w:rPr>
                <w:rFonts w:ascii="Noto Sans CJK TC" w:hAnsi="Noto Sans CJK TC" w:eastAsia="Noto Sans CJK TC"/>
                <w:sz w:val="16"/>
              </w:rPr>
              <w:t>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Form / Input Contracts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Contract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Business Fields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View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Rule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query*；scope_ref*；filters_json?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 / Intelligence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不得用前端自行衍生 unauthorized filter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只刷新 exact projection/scope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resource_type*；resource_id*；config_patch_json*；reason*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禁止跨 domain union payload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Playbook / Opportunity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Approval 綁 exact resource/version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resource_type*；target_ref*；content*；reference_ids?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不等於 Approved / Published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projection_type*；scope_ref*；format*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Persistence owner 未閉合時不可假下載成功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resource_type*；title?；source_ref?；content?；reference_ids?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Candidate ≠ Decision；需保留 evidence lineage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path strategyCandidateId；decision_reason*；evidence_refs?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Body ID 若存在必須等於 path canonical ID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strategy_candidate_id*；decision_reason*；evidence_refs?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只建立 Context Candidate，不執行 downstream owner action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 Candidates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READ_ONLY；不得改 candidate state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Permission / Gate / Security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4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條件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+ exact account page permission + admin Strategy target + scope + condition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exact section/control/field read permission + classification/mask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 + configure action permission + exact resource/version + state guard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approve permission + REVIEW/eligible state + exact version + rationale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candidate action permission + evidence/source scope + state/version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 + compare/decide/adopt permission + Human reason + evidence refs + state/version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Guardrail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Risk/Cost/Capacity 僅在 authorized finance projection 下顯示；否則 MASK/DENY，不得用推估填值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State Model / Truthful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/ Runtime semantics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geometry；effectful controls 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READY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依 permission/state 顯示與 enable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顯示空狀態；不造 sample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ERROR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actual error / permitted reason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但政策阻擋 → disabled + reason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停止寫入；reload exact version；force overwrite 禁止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 Human/Governance review；不得自動 approve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外部情報或 acquisition pending；不得標示成功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READ_ONLY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只讀；Effectful controls 隱藏/disabled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ARCHIVED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只讀歷史；不可覆寫 lineage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Data Truth / Fact Quality / Lineage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任何 Fact 必須可回溯 source_ref、source_type、source_time_or_version、scope、confidence_or_quality_state。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External Intelligence 只能成為 P4 輸入；不得覆蓋 Confirmed Decision / Current governed internal truth。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Confidence、Completeness、Source Health 必須由 registered projection/evidence logic 提供，前端不可計分或手動改綠。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Candidate / Opportunity / Playbook 是版本化治理物件；revision 建立新版本，歷史不覆蓋。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Context 必須同時呈現 Evidence、Assumption、Risk、Cost/Capacity Boundary、Uncertainty 與 Human reason；不能只顯示推薦結論。</w:t>
      </w:r>
    </w:p>
    <w:p>
      <w:pPr>
        <w:pStyle w:val="Heading1"/>
        <w:spacing w:before="80" w:after="40"/>
      </w:pPr>
      <w:r>
        <w:t>13. Shared Acquisition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ACPOS_SHARED_EXTERNAL_DATA_ACQUISITION_RUNTIME；admin STR-01 不擁有第二套 crawler/search runtime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Mode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STRATEGIC_INTELLIGENCE_ACQUISITION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Allowed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 / WEB_CRAWL / WEB_FETCH / SCHEDULED_RECRAWL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Result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僅為 acquisition evidence；必須經 Fact quality / source / citation / governance 才能成為 governed Fact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Failure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exact source/error/pending；不得用 AI 摘要偽裝成成功抓取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14. Decision Lab / Governed Handoff Design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admin STR-01 決策實驗室與治理交接參考設計" title="admin STR-01 決策實驗室與治理交接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DECISION_L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B｜決策實驗室：比較候選、Evidence、Risk/Cost/Capacity 與 Human Gate 同屏；Adopt 僅建立 Context Candidate，禁止直接修改 Canon、Task、Budget 或 Publish state。</w:t>
      </w:r>
    </w:p>
    <w:p>
      <w:pPr>
        <w:pStyle w:val="Heading1"/>
        <w:spacing w:before="80" w:after="40"/>
      </w:pPr>
      <w:r>
        <w:t>15. Error / Recovery / Partial Failure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72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AUTH_DENIED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Hide/deny protected control/value；server 仍拒絕 direct call；不得以角色名或部門作 allow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SOURCE_STALE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標示 stale / actual timestamp；保留上一可驗證 projection；提供 registered refresh only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FACT_INCOMPLETE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missing / incomplete / confidence state；不得補 0、補假 Fact 或 AI 猜值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阻止 effectful write；reload exact object/version；保留未提交表單供人工比較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OPERATION_UNMATERIALIZED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reason + REPORT_AUTHORITY_GAP；不得自行創 endpoint / permission / runtime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EXPORT_BLOCKED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不顯示假下載；顯示 persistence owner 未閉合或 actual backend reason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ACQUISITION_PARTIAL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保留已取得 evidence；缺失來源仍 pending/error；只重試合法缺失工作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DOWNSTREAM_OWNER_BLOCKED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Context Candidate / handoff ref；由 owner module 處理；Strategy page 不越權執行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7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i18n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en；ORANGE ONE、ACPOS、AI、API、QA 等固定詞依 Global 規則處理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Tabs / Table actions / Drawer / Modal 全可鍵盤到達；Focus visible，不可只靠色彩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Drawer/Modal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trap；Escape/Close；Effectful Modal 關閉前保留/提示未提交內容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Success/Warning/Error/Processing 不只用顏色；必須有文字或 icon 語義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Desktop-first，同頁 reflow；不得建立 mobile-only 第二頁；長表格允許受控 horizontal scroll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長 title/source/citation 採 ellipsis + Detail Drawer；按鈕文字不得壓框/破框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Single Current Page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只存在 admin:STR-01 Current Strategy admin page；不得重建舊多頁 Strategy admin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Five Views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總覽 / 情報與 Fact / Playbook / 趨勢與機會 / 決策實驗室皆為同頁 View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STR-A-03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Owner Reuse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只使用 StrategyService + StrategyFactPackService + shared owners；無第二套服務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STR-A-04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Action Isolation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每個 View 只使用其 registered action family；payload 不跨 source union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STR-A-05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Fact Truth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Inference 不得標 Fact；Confidence/Health/Cost/Capacity 不得偽造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STR-A-06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 Lineage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Playbook/Opportunity/Candidate/Context 變更保留版本與 evidence lineage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STR-A-07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Boundary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Lab 不直接寫 Canon/Task/Budget/Publish；handoff 到 owner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STR-A-08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Boundary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只走 shared acquisition runtime；raw result 不直接成 Fact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STR-A-09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Permission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Account assignment + scope/condition/state/version/idempotency/audit server-side gate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STR-A-10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 Honesty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Visual Geometry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無壓邊/破框/重疊；Drawer/Modal/Tab/Table 遵守 Global geometry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A11y / i18n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Keyboard/Focus/Status/i18n 三語施工條件完整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只允許一個 admin:STR-01 Current Strategy Administration；禁止平行 Strategy admin pages。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本頁不得定義 Global Sidebar sibling order；只宣告自己的 active menu key / page identity。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StrategyService 與 StrategyFactPackService 不得 merge/rebuild；shared acquisition runtime 不得複製。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Inference ≠ Fact；Candidate ≠ Decision；Playbook ≠ Publish；Opportunity ≠ Project/Budget mutation。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Lab 不得直接寫 Canon Lock、Task、Budget、Publish 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外部情報不得覆蓋 Current governed internal truth；缺值顯示 —，不得 AI-fill。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Effectful action 必須 exact Operation + Permission + State + Version + Idempotency + Audit；缺任一項即 BLOCK。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Export、Candidate、Decision 等若 runtime owner/persistence/authorization 未 current materialize，不得假接、不得 fake success。</w:t>
      </w:r>
    </w:p>
    <w:p>
      <w:pPr>
        <w:pStyle w:val="Heading1"/>
        <w:spacing w:before="80" w:after="40"/>
      </w:pPr>
      <w:r>
        <w:t>19.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770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施工與驗收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Shell / Page Mount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掛載 admin:STR-01；只消費 Global navigation，不改 menu order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Five-view Context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建立同頁 tabs + preserve scope/object/query/form state；無 route split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Projection Layer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/ Fact / Playbook / Opportunity / Decision read projections；缺值與 masking 正確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Drawer / Modal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Detail Drawer + schema-driven Effectful Modal；focus/a11y 完整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Operation Binding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逐 Action 對 exact operation/schema/runtime/permission；未 materialized 控制維持 disabled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 Data Lineage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→ Fact → Evidence → Candidate → Context / Approval / Audit exact refs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 Acquisition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接 shared strategic intelligence acquisition；raw→fact governance boundary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 Decision Boundary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 / Adopt Context；確認無 downstream direct mutation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9 Regression / E2E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五 View、所有可見控制、權限、state/version/idempotency、error/recovery、restart persistence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10 Production Acceptance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deployed SHA + production evidence 成立後，才可把 Runtime status 改為完成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ADMIN STR Runtime / Persistence / Authorization Boundary Closure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Persistence owner must be canonically bound + runtime authorization/persistence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BLOCKED_NO_CANONICAL_EXPORT_PERSISTENCE_OWNER must be resolved +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must be resolved; permission must be enforced there.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 mutation expected; read/runtime owner still 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read/runtime owner +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and state-transition/audit handling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persistence/context-state owner and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T6R9[Immutable lineage]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T6R8[Human reason]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T6R3[—]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T6R2[—]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T6R7[Reject/Decide*]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T6R4[—]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[ACPOS-DESIGN-CLOSURE:ADMIN-STR-01:GEOMETRY]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Viewport / Breakpoint UID</w:t>
            </w:r>
          </w:p>
        </w:tc>
        <w:tc>
          <w:tcPr>
            <w:tcW w:type="dxa" w:w="56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616"/>
          </w:tcPr>
          <w:p>
            <w:r>
              <w:t>Container Width / Min / Max</w:t>
            </w:r>
          </w:p>
        </w:tc>
        <w:tc>
          <w:tcPr>
            <w:tcW w:type="dxa" w:w="56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616"/>
          </w:tcPr>
          <w:p>
            <w:r>
              <w:t>Grid Columns / Span / Gutter / Outer Margin</w:t>
            </w:r>
          </w:p>
        </w:tc>
        <w:tc>
          <w:tcPr>
            <w:tcW w:type="dxa" w:w="56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616"/>
          </w:tcPr>
          <w:p>
            <w:r>
              <w:t>Section Bounding Rules</w:t>
            </w:r>
          </w:p>
        </w:tc>
        <w:tc>
          <w:tcPr>
            <w:tcW w:type="dxa" w:w="56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616"/>
          </w:tcPr>
          <w:p>
            <w:r>
              <w:t>Component / Control / Field Width / Height Rules</w:t>
            </w:r>
          </w:p>
        </w:tc>
        <w:tc>
          <w:tcPr>
            <w:tcW w:type="dxa" w:w="56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616"/>
          </w:tcPr>
          <w:p>
            <w:r>
              <w:t>Min / Max Width / Height</w:t>
            </w:r>
          </w:p>
        </w:tc>
        <w:tc>
          <w:tcPr>
            <w:tcW w:type="dxa" w:w="56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616"/>
          </w:tcPr>
          <w:p>
            <w:r>
              <w:t>Gap / Padding / Alignment</w:t>
            </w:r>
          </w:p>
        </w:tc>
        <w:tc>
          <w:tcPr>
            <w:tcW w:type="dxa" w:w="56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616"/>
          </w:tcPr>
          <w:p>
            <w:r>
              <w:t>Aspect Ratio</w:t>
            </w:r>
          </w:p>
        </w:tc>
        <w:tc>
          <w:tcPr>
            <w:tcW w:type="dxa" w:w="56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616"/>
          </w:tcPr>
          <w:p>
            <w:r>
              <w:t>Overflow / Scroll Rule</w:t>
            </w:r>
          </w:p>
        </w:tc>
        <w:tc>
          <w:tcPr>
            <w:tcW w:type="dxa" w:w="56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616"/>
          </w:tcPr>
          <w:p>
            <w:r>
              <w:t>Collapse / Stack / Wrap Rule</w:t>
            </w:r>
          </w:p>
        </w:tc>
        <w:tc>
          <w:tcPr>
            <w:tcW w:type="dxa" w:w="56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616"/>
          </w:tcPr>
          <w:p>
            <w:r>
              <w:t>Z-order / Overlay Rule</w:t>
            </w:r>
          </w:p>
        </w:tc>
        <w:tc>
          <w:tcPr>
            <w:tcW w:type="dxa" w:w="56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616"/>
          </w:tcPr>
          <w:p>
            <w:r>
              <w:t>Text Capacity / Truncation / Wrap Rule</w:t>
            </w:r>
          </w:p>
        </w:tc>
        <w:tc>
          <w:tcPr>
            <w:tcW w:type="dxa" w:w="56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616"/>
          </w:tcPr>
          <w:p>
            <w:r>
              <w:t>Asset Object-fit / Object-position</w:t>
            </w:r>
          </w:p>
        </w:tc>
        <w:tc>
          <w:tcPr>
            <w:tcW w:type="dxa" w:w="56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616"/>
          </w:tcPr>
          <w:p>
            <w:r>
              <w:t>Locked Visual Anchors</w:t>
            </w:r>
          </w:p>
        </w:tc>
        <w:tc>
          <w:tcPr>
            <w:tcW w:type="dxa" w:w="56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616"/>
          </w:tcPr>
          <w:p>
            <w:r>
              <w:t>Allowed Tolerance / Diff Threshold</w:t>
            </w:r>
          </w:p>
        </w:tc>
        <w:tc>
          <w:tcPr>
            <w:tcW w:type="dxa" w:w="56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616"/>
          </w:tcPr>
          <w:p>
            <w:r>
              <w:t>Geometry Failure Set</w:t>
            </w:r>
          </w:p>
        </w:tc>
        <w:tc>
          <w:tcPr>
            <w:tcW w:type="dxa" w:w="56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sectPr w:rsidR="00FC693F" w:rsidRPr="0006063C" w:rsidSect="00034616">
      <w:pgSz w:w="12240" w:h="158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 STR-01 戰略中心後台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admin STR-01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admin STR-01 戰略中心後台 Mother Basic Design</dc:title>
  <dc:subject>Construction-ready optimized page design</dc:subject>
  <dc:creator>ORANGE ONE</dc:creator>
  <cp:keywords>ACPOS, STR-01, Strategy Center Administration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