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Noto Sans CJK TC" w:hAnsi="Noto Sans CJK TC" w:eastAsia="Noto Sans CJK TC"/>
          <w:b/>
          <w:color w:val="6E35FF"/>
          <w:sz w:val="28"/>
        </w:rPr>
        <w:t>ACPOS · AIAPI-01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171B34"/>
          <w:sz w:val="46"/>
        </w:rPr>
        <w:t>AI API 管理｜Mother Basic Design</w:t>
      </w:r>
    </w:p>
    <w:p>
      <w:pPr>
        <w:spacing w:after="160"/>
      </w:pPr>
      <w:r>
        <w:rPr>
          <w:rFonts w:ascii="Noto Sans CJK TC" w:hAnsi="Noto Sans CJK TC" w:eastAsia="Noto Sans CJK TC"/>
          <w:b/>
          <w:color w:val="5840A0"/>
          <w:sz w:val="20"/>
        </w:rPr>
        <w:t>Provider Governance · Credential Safety · Capability · Routing · Sandbox ·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EE9FF"/>
            <w:tcBorders>
              <w:top w:val="single" w:sz="6" w:color="B7A7EF"/>
              <w:left w:val="single" w:sz="6" w:color="B7A7EF"/>
              <w:bottom w:val="single" w:sz="6" w:color="B7A7EF"/>
              <w:right w:val="single" w:sz="6" w:color="B7A7EF"/>
              <w:insideH w:val="single" w:sz="6" w:color="B7A7EF"/>
              <w:insideV w:val="single" w:sz="6" w:color="B7A7EF"/>
            </w:tcBorders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頁面定位｜</w:t>
            </w:r>
            <w:r>
              <w:rPr>
                <w:rFonts w:ascii="Noto Sans CJK TC" w:hAnsi="Noto Sans CJK TC" w:eastAsia="Noto Sans CJK TC"/>
                <w:sz w:val="16"/>
              </w:rPr>
              <w:t>單一 AI API 管理工作區。管理 Provider/Model Profile、Credential、Capability、Route/Test、Job/Cost/Incident；不建立第二套 Provider Registry、Secret Store、Router 或 AI Runtime。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頁面設計身份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定義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Page UID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admin:AIAPI-01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頁面名稱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AI API 管理 / AI API Management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Surface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ADMIN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Workspace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Single-page · 4 practical views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Default View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Provider / API 設定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Global Pattern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繼承既有 Global Shell / Global Visual；本頁不另造視覺系統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Missing Value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—；不得用 0 / Healthy / Success 補值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Runtime Boundary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前端管理面；既有 Provider / Compiler / Job / Secret owners 為唯一 backend owners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1. 產品目標與設計原則</w:t>
      </w:r>
    </w:p>
    <w:p>
      <w:pPr>
        <w:pStyle w:val="ListBullet"/>
        <w:spacing w:after="16"/>
        <w:ind w:left="0"/>
      </w:pPr>
      <w:r>
        <w:rPr>
          <w:rFonts w:ascii="Noto Sans CJK TC" w:hAnsi="Noto Sans CJK TC" w:eastAsia="Noto Sans CJK TC"/>
          <w:sz w:val="16"/>
        </w:rPr>
        <w:t>把 Provider 設定、能力治理、路由測試、作業成本監控收斂在同一頁，避免操作人員在多個管理頁之間失去 Provider/Profile 上下文。</w:t>
      </w:r>
    </w:p>
    <w:p>
      <w:pPr>
        <w:pStyle w:val="ListBullet"/>
        <w:spacing w:after="16"/>
        <w:ind w:left="0"/>
      </w:pPr>
      <w:r>
        <w:rPr>
          <w:rFonts w:ascii="Noto Sans CJK TC" w:hAnsi="Noto Sans CJK TC" w:eastAsia="Noto Sans CJK TC"/>
          <w:sz w:val="16"/>
        </w:rPr>
        <w:t>任何 Effectful 動作必須綁定已註冊 Operation、Permission、Gate 與 Runtime Owner；未知能力、Endpoint、價格、限制或 Provider 資料一律顯示 — 或 BLOCK。</w:t>
      </w:r>
    </w:p>
    <w:p>
      <w:pPr>
        <w:pStyle w:val="ListBullet"/>
        <w:spacing w:after="16"/>
        <w:ind w:left="0"/>
      </w:pPr>
      <w:r>
        <w:rPr>
          <w:rFonts w:ascii="Noto Sans CJK TC" w:hAnsi="Noto Sans CJK TC" w:eastAsia="Noto Sans CJK TC"/>
          <w:sz w:val="16"/>
        </w:rPr>
        <w:t>Secret 僅允許寫入與狀態檢視，不提供明文回顯、匯出、日誌或 Audit Plaintext。</w:t>
      </w:r>
    </w:p>
    <w:p>
      <w:pPr>
        <w:pStyle w:val="ListBullet"/>
        <w:spacing w:after="16"/>
        <w:ind w:left="0"/>
      </w:pPr>
      <w:r>
        <w:rPr>
          <w:rFonts w:ascii="Noto Sans CJK TC" w:hAnsi="Noto Sans CJK TC" w:eastAsia="Noto Sans CJK TC"/>
          <w:sz w:val="16"/>
        </w:rPr>
        <w:t>路由由能力、Rights、Data Classification、Health/Test、Budget/Policy 等硬條件決定；前端不得 Override。</w:t>
      </w:r>
    </w:p>
    <w:p>
      <w:pPr>
        <w:pStyle w:val="ListBullet"/>
        <w:spacing w:after="16"/>
        <w:ind w:left="0"/>
      </w:pPr>
      <w:r>
        <w:rPr>
          <w:rFonts w:ascii="Noto Sans CJK TC" w:hAnsi="Noto Sans CJK TC" w:eastAsia="Noto Sans CJK TC"/>
          <w:sz w:val="16"/>
        </w:rPr>
        <w:t>所有 Provider-specific Prompt/Request 轉換只能改語法與欄位映射，不得改變 Canonical Instruction 的治理語意。</w:t>
      </w:r>
    </w:p>
    <w:p>
      <w:pPr>
        <w:pStyle w:val="Heading1"/>
        <w:spacing w:before="100" w:after="40"/>
      </w:pPr>
      <w:r>
        <w:t>2. Scope / Out-of-Scope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範圍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內容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IN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Provider/Model Profile、Credential Status、Capability Governance、Professional Description、Candidate Group、Preflight、Compile Audit、Sandbox、Route Decision、Quarantine、Job/Attempt/Callback/Artifact、Cost/Budget/Incident、Kill Switch、Queue Diagnostic。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OUT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部門工作頁的 Provider Picker、第二套 Provider Registry、第二套 Secret DB、第二套 Router、前端直接 SDK 呼叫、未註冊 API、明文 Secret、Client-side Job State Write、未驗證 Callback Success。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BOUNDARY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AIAPI-01 管 Provider 能力與執行基礎；CORE / ASSET / VIDEO / EDIT / STRATEGY 只提交 provider-neutral instruction 與 capability requirement。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3. Business Entity 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Business Entity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Boundary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ProviderModelProfile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+ Model + Adapter + Capability 的可執行設定版本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owner / AI API runtime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CredentialReference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的 Secret Reference 與 Credential Status；不含明文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Existing secret owner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GovernedCapabilityResource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Capability / Policy / Enable 狀態與審批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Governance owner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ProviderCandidateGroup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可排序的候選 Profile 集合與 Route Limits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 API route config owner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RoutePreflight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一次 Route 可行性檢查結果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runtime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SandboxTest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隔離的非 Production Provider 測試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 API command runtime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RouteDecision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實際選擇 Profile、理由、constraint result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runtime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QuarantineRecord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被隔離 Provider/Profile 與恢復原因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 API runtime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ProviderJobAttempt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 / Attempt / Callback / Artifact / Error lineage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Job/Queue runtime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CostBudgetIncident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估算/實際成本、Budget、Degradation、Incident、Fallback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Operations projection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InstructionCompileAudit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Canonical Instruction → profile/template/adapter compile lineage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Instruction compiler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4. Business Entity × Applicable Operation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rPr>
          <w:tblHeader w:val="true"/>
        </w:trPr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List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Open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Create/Run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Edit/Action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Validate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Approve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Version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Audit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Retire/Delete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Recovery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ProviderModelProfile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Retire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CredentialReference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Set/Delete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Delete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GovernedCapabilityResource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Configure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Disable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ProviderCandidateGroup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Create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Bounded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RoutePreflight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SandboxTest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Run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RouteDecision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Execute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QuarantineRecord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Restore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Confirm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ProviderJobAttempt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Runtime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Runtime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CostBudgetIncident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Runtime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Governed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High-risk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InstructionCompileAudit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Runtime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Profile-only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TC" w:hAnsi="Noto Sans CJK TC" w:eastAsia="Noto Sans CJK TC"/>
          <w:b w:val="0"/>
          <w:color w:val="5C6078"/>
          <w:sz w:val="15"/>
        </w:rPr>
        <w:t>註：R = REQUIRED。Bounded 表示只有在已存在 Operation/Payload 的範圍內完成；沒有註冊 Post-create member mutation 時，不因 UI 對稱性自造 API。</w:t>
      </w:r>
    </w:p>
    <w:p>
      <w:pPr>
        <w:pStyle w:val="Heading1"/>
        <w:spacing w:before="100" w:after="40"/>
      </w:pPr>
      <w:r>
        <w:t>5. Entity Hierarchy / Lineage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上游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關聯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下游 / 規則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ProviderModelProfile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0..1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CredentialReference；Secret 只以 Reference/Status 連結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ProviderModelProfile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N ↔ 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GovernedCapabilityResource；Route 需 exact capability match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ProviderCandidateGroup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Ordered Profile refs；不可用 latest/default alias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Canonical Instruction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CompileAudit；每個 target profile 必須重新 compile，禁止跨 Provider 重用 compiled prompt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RoutePreflight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0..1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RouteDecision；硬 Gate 未過不得 execute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RouteDecision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ProviderJobAttempt；retry 形成獨立 Attempt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ProviderJobAttempt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0..N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Callback / Artifact / Cost；Callback 未驗證不得成功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QuarantineRecord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N → 1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Provider/Profile；Restore 需 reason + audit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6. Functional Admission &amp; Bounded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候選功能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裁決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設計處理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Queue Readiness / Probe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ADMIT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既有 Queue Probe Operation 已存在；放在 Routing/Operations 的次要診斷，不成為新 Queue 管理系統。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Candidate Group post-create member CRUD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BLOCK UNTIL EXACT OP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Current UI 可在 Create payload 內設定 ordered members / limits；若無正式 update member operation，不放獨立 Edit/Delete member action。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 / Model Picker in department pages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REJECT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由 AIAPI Route Policy 自動解析；部門工作頁不得繞過。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API Key Reveal / Eye button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REJECT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Credential write-only；只顯示 SET / NOT_SET / ROTATION_DUE / ERROR。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Frontend Route Override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REJECT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Route Decision 為 Runtime owner；前端只顯示 constraint / reason。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Cost chart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CONDITIONAL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只有後端存在 governed projection 才顯示；表格永遠是 canonical。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Manual health green override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REJECT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Health 為真實投影，不接受 UI 假綠燈。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7. Functional Workbench &amp; Interaction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EE9FF"/>
            <w:tcBorders>
              <w:top w:val="single" w:sz="6" w:color="B7A7EF"/>
              <w:left w:val="single" w:sz="6" w:color="B7A7EF"/>
              <w:bottom w:val="single" w:sz="6" w:color="B7A7EF"/>
              <w:right w:val="single" w:sz="6" w:color="B7A7EF"/>
              <w:insideH w:val="single" w:sz="6" w:color="B7A7EF"/>
              <w:insideV w:val="single" w:sz="6" w:color="B7A7EF"/>
            </w:tcBorders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Atomic Workbench｜</w:t>
            </w:r>
            <w:r>
              <w:rPr>
                <w:rFonts w:ascii="Noto Sans CJK TC" w:hAnsi="Noto Sans CJK TC" w:eastAsia="Noto Sans CJK TC"/>
                <w:sz w:val="16"/>
              </w:rPr>
              <w:t>Provider / API 設定採 68% Profile Table + 32% Professional Description；選取 Profile 後保持同一 Context。Edit/Test/Credential 使用 Modal/Drawer，不把主要工作流切碎。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工作序列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Topology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理由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Profile List → Select → Professional Description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ATOMIC_WORKBENCH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同一 Provider/Profile Context；不能跳頁失去 selection。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Create/Edit Profile → Test → Credential Status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SAME_SURFACE_CLUSTER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Effectful Modal 結束後回到同一選取列。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Candidate Group → Preflight → Compile Audit → Sandbox → Route Decision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ATOMIC_WORKBENCH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同一 route basis；任何一步換 context 都可能造成錯誤 Provider 決策。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Job/Attempt → Callback/Artifact/Cost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SAME_SURFACE_CLUSTER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操作監控需保留 exact job/attempt lineage。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Audit / full error / docs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INDEPENDENT_SUPPORT_PANEL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低頻細節放 Drawer，避免干擾主工作流。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8. Four-View Information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View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主要內容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Primary CTA 規則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總覽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 / Route / Capability / Job / Cost / Health / Incident 摘要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沒有假 KPI；若無 governed projection 就用狀態表。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 / API 設定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Profile table、Professional Description、Credential、Capability、Test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每一 Context 最多一個 Primary CTA；其他為 row action / secondary。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路由 / 測試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Candidate Group、Preflight、Compile Audit、Sandbox、Route Simulation、Quarantine、Queue Probe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Route Execute 只有硬 Gate 全部 PASS 才可用。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作業 / 成本 / 事件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Job、Attempt、Callback、Artifact、Cost、Budget、Degradation、Incident、Fallback、Kill Switch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Kill Switch 永遠條件式高風險，不是常駐 Primary。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9. Page Geometry / Responsive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區域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Desktop Geometry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Responsive / Overflow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Global Header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全寬，約 58px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繼承 Global；本頁不重畫。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Collapsed Sidebar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約 64px icon rail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Expanded sidebar overlay；不得壓縮主 Workspace。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Page Context / Tabs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56px context + 52px secondary tab row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Tab 可橫向捲動但不另建 mobile page。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 View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Main 68% / Professional Panel 32%，gap 16px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窄寬時先保持 table 主體，右欄下沉為 drawer/stack。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Routing / Operations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Main route workbench + 28~32% operations rail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低頻 detail 轉 drawer。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Detail Drawer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480–560px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不能遮住主要 CTA；Esc / Focus trap / Return focus 必須成立。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Control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40px，touch target ≥44px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不得為塞欄位縮到不可用。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10. Canonical Section Specification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 UID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名稱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責任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AIAPI-01-SEC-01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Page Context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Page title / current view / selected provider-profile / current blockers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AIAPI-01-SEC-02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View Navigator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4 same-page tabs; preserve selection/query/draft state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AIAPI-01-SEC-03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Overview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Real summary only; no fake charts/counters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AIAPI-01-SEC-04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&amp; Model Profiles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Search/table/profile CRUD/test/retire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AIAPI-01-SEC-05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Professional Description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Read-only decision support from registered metadata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AIAPI-01-SEC-06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 &amp; Capability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Write-only credential + governed capability/config/approval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AIAPI-01-SEC-07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Routing &amp; Test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group/preflight/compile audit/sandbox/route/quarantine/queue probe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AIAPI-01-SEC-08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Operations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Job/attempt/callback/artifact/cost/budget/degradation/incident/fallback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AIAPI-01-SEC-09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Governance Rail / Detail Drawer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Blocker/readiness/audit/docs/error/version/correlation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AIAPI-01-SEC-10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Action Dock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Current-context legal actions only; max one dominant CTA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11. Component / Field 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Key Fields / Content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Search/Table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Provider, Model, Capability, Adapter, Endpoint, Enabled, Credential Status, Last Test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Sticky header; long values ellipsis + drawer; row actions explicit.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Form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Identity / Connection / Adapter / Capability / Data-Context / Status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Schema-driven Modal; prompt_template 必須保留 canonical instruction placeholder。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Professional Description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Identity, Positioning, ACPOS Scope, Capabilities, I/O, Limits, Endpoint/Auth, Billing, Health/Test, Restrictions, Docs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Read-only；unknown = —；不能編輯說明文字改 runtime。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 Modal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ref + credential input / delete reason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Write-only；never prefill / reveal.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Workbench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Group, use_case, required capabilities, context size, classification, rights, refs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Preserve same route basis; no frontend override.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Compile Audit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Instruction package, script ref, compiler version, route constraints, adapter diff, prompt template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Exact version lineage; provider-specific syntax不得改 canonical meaning。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Operations Table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Job, Attempt, Callback, Artifact, Cost, Error, Incident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Read projections; retry preserves independent attempt.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12. Core Control 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 / UX Rule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新增 Provider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createProviderModelProfile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Effectful Modal；schema/gate/permission required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編輯 Profile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updateProviderModelProfile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Expected version + audit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查看 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getProviderModelProfile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Drawer / read-only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連線測試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testProviderModelProfile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Secret ref + adapter required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退役 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retireProviderModelProfile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State guarded; never hard delete runtime history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設定 API 金鑰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setProviderModelCredential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Write-only; secret env/reference owner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刪除 API 金鑰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deleteProviderModelCredential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Reason/confirmation; no old value in response/log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設定 Capability/Policy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configureGovernedResource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Exact governed resource ref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核准 Capability/Policy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approveGovernedResource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Version + rationale + audit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建立 Candidate Group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createProviderCandidateGroup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Group + ordered member refs + limits only by exact schema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Sandbox 測試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runSandboxTest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Production secret/output forbidden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執行 Route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executeProviderRoute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All hard gates + queue + approved capability/profile/secret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查看 Route Decision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getProviderRouteDecision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Read-only exact decision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查看 Quarantine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getProviderQuarantine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Read-only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Restore Quarantine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restoreProviderFromQuarantine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Reason + audit; bypass forbidden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Queue Probe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runProviderQueueProbe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Diagnostic only; no provider external call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Kill Switch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setKillSwitch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High-risk confirmation + reason + audit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13. Provider Profile Field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 Group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Fields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Validation / Constraint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Identity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provider_id, provider_name, model_id, model_name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Canonical profile identity；不得由 frontend 猜 alias。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Connection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base_url, endpoint_path, http_method, timeout_seconds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Endpoint guessing forbidden；method/path 依正式 profile。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Adapter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adapter_type, request_template, response_text_path, prompt_template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只允許已存在 adapter type；prompt_template 保留 canonical_instruction token。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Capability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capability_type, additional_capabilities, supports_references, rights_compatible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需 exact capability match；silent downgrade forbidden。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Data / Context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data_classifications, preferred_language, max_context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Data classification hard gate；不得跨 domain 猜值。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Status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enabled, profile version, health/test evidence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Enable 受 capability/policy/server gate；Health 不可手動改綠。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14. Credential / Secret Security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9F7F1"/>
            <w:tcBorders>
              <w:top w:val="single" w:sz="6" w:color="B7A7EF"/>
              <w:left w:val="single" w:sz="6" w:color="B7A7EF"/>
              <w:bottom w:val="single" w:sz="6" w:color="B7A7EF"/>
              <w:right w:val="single" w:sz="6" w:color="B7A7EF"/>
              <w:insideH w:val="single" w:sz="6" w:color="B7A7EF"/>
              <w:insideV w:val="single" w:sz="6" w:color="B7A7EF"/>
            </w:tcBorders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Secret Boundary｜</w:t>
            </w:r>
            <w:r>
              <w:rPr>
                <w:rFonts w:ascii="Noto Sans CJK TC" w:hAnsi="Noto Sans CJK TC" w:eastAsia="Noto Sans CJK TC"/>
                <w:sz w:val="16"/>
              </w:rPr>
              <w:t>API Key / Token 只可在 Credential write action 的 input buffer 短暫存在；成功後 UI 只保留 credential status / reference / version，不可再顯示明文。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禁止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必須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Eye / Reveal Button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只顯示 SET / NOT_SET / ROTATION_DUE / ERROR 等正式狀態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Plaintext Export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Export projection 必須排除 credential plaintext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Plaintext Log / Audit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Error payload 必須 redacted；不得包含 header/body secret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Plaintext DB Persistence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只由既有 secret reference owner 保存 reference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Production Secret in Sandbox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Sandbox 使用隔離 credential/context；Production secret use = FORBIDDEN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15. Routing Gate &amp; Canonical Instruction Continuity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順序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失敗行為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1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Required capability exact match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BLOCK；不得以較弱 capability silent downgrade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2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Reference-media support when required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 或移除不合法 profile；不改任務需求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3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Rights compatibility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4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Data classification compatibility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5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enabled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6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Health / Test policy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 / Degraded route policy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7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Budget / Cost / policy gate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按正式 policy；不得為省成本改 Task Contract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8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Queue / runtime readiness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未 ready 不執行外部 Provider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TC" w:hAnsi="Noto Sans CJK TC" w:eastAsia="Noto Sans CJK TC"/>
          <w:b/>
          <w:color w:val="4D349D"/>
          <w:sz w:val="16"/>
        </w:rPr>
        <w:t>Fallback 必須使用同一份 Canonical Instruction 重新為目標 Provider/Profile compile；不得重用另一 Provider 的 compiled prompt。</w:t>
      </w:r>
    </w:p>
    <w:p>
      <w:pPr>
        <w:pStyle w:val="Heading1"/>
        <w:spacing w:before="100" w:after="40"/>
      </w:pPr>
      <w:r>
        <w:t>16. Route / Sandbox / Quarantine 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Input / Output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核心規則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Group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Eligible profile refs + ordered priority + registered limits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只包含已註冊 profile；post-create mutation 無 exact op 時不顯示。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Preflight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use_case / capability / context / data / rights / refs → eligibility result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只驗證可路由性；不得產生 Provider 成功假象。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Compile Audit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Canonical Instruction → Prompt Template / Adapter Request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保留 source hash / compiler / profile version / compiled hash。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Sandbox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Isolated payload → test result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Production secret use/output write forbidden。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Execute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Validated route request → Route Decision + Job lineage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Frontend route override forbidden。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Quarantine / Restore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Quarantine state → audited restore request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Restore requires reason；不繞過 health/policy gates。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17. Job / Attempt / Callback / Artifact /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必要欄位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Truth Rule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job_id, capability, profile, status, created, finished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Frontend 不可寫 status。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Attempt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attempt_id, provider, model, external_ref, retry, error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每次 retry 是獨立 attempt，不覆蓋舊證據。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Callback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callback_status, verification, received_at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未驗證 callback 不得標 SUCCESS。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Artifact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artifact_ref, version, provider_output_ref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 silent overwrite 既有 asset/version。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Cost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estimated_cost, actual_cost, currency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Finance 未授權 → MASK / DENY；缺值不是 0。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Incident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severity, provider/model impact, status, correlation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必須可從 UI 追到 exact job/attempt/route context。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18. Functional Chain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Function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Complete Chain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Create / Update Profile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Intent → Profile Form → Permission/Gate → Registered Operation → AI API Command Runtime → Profile persistence → Audit → Updated row + Professional Panel → Test next step → error/version recovery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Set Credential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Intent → Credential Modal → Permission → Write-only input → Secret owner → reference/status return → audit without plaintext → profile readiness update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Test Provider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Selected exact profile → capability/secret/adapter gate → test operation → provider adapter → test evidence → health/readiness update → failure code/recovery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Execute Route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Canonical instruction + scoped context → candidate group → hard preflight → compile audit → queue/runtime gate → execute route → route decision → provider attempt → callback/artifact/cost → UI result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Restore Quarantine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Quarantine row → reason + confirmation → permission/state gate → restore op → audit → re-enter health/test gates; no direct eligible status assumption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Kill Switch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Target/scope → high-risk confirm + reason → permission/state/version/idempotency → setKillSwitch → audit → affected route/profile status refresh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19. Permission / Runtime / Data Binding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Page Entry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Authenticated admin + exact page permission + account assignment + scope/condition. Frontend hide 不是 authorization。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Effectful Control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Exact control/action resource mapping + server authorization + state guard + expected version + idempotency + audit。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Persistence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Existing AI API provider profile owner only；不新增第二套 registry。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Secret Persistence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Existing secret reference owner only；raw credential forbidden。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Persistence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Preflight / Decision / Attempt 由既有 runtime stores；UI 不自行推導成功。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Queue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Existing provider execution queue；Queue Probe 只做可用性診斷且不呼叫外部 Provider。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Cost / Budget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Governed projection；無 finance permission 時 mask/deny。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20. State / Error / Recovery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State / Error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Recovery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LOADING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Skeleton / preserve geometry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Effectful controls disabled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EMPTY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Show empty state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不得塞 sample Provider/Model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POLICY_BLOCKED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Disabled + registered reason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不得新增 Override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VERSION_CONFLICT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 write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Reload exact profile/resource and retry from fresh state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EXTERNAL_PENDING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Show pending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不得轉成 success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 Error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Masked error code/reason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不得回傳 secret/header/body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Capability mismatch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Exclude/block candidate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 silent downgrade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Quarantined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Not route eligible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Restore only by exact audited operation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Queue unavailable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 external route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保留 request context；retry 依正式 runtime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Unverified callback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Non-success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等待/重驗 callback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Partial composite failure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Show per-step result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只重試尚未合法完成的 operation；不得報 COMPLETE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Undefined operation/field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 + REPORT_AUTHORITY_GAP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不得臨時自造 API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21. Localization / Accessibility / Interaction States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規格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Locales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zh-TW / zh-CN / en；Provider/Model/Endpoint 原名不翻譯；UI labels 本地化。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Focus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Modal/Drawer 開啟後 focus trap；關閉時回到來源 control。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Keyboard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Tab order = context → views → search/table → row action → right panel → action dock；Esc 關閉 drawer/modal。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Status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顏色 + 文字雙重表示；不能只靠綠/黃/紅。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Table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Header row 標記、sticky semantics、長值截斷但 full value 可由 authorized drawer 取得。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Secret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輸入欄不得被 screen/read-back 當成可回顯資料；完成後清空。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Disabled Reason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State/policy blocked 可顯示原因；permission denied 依政策隱藏/deny。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22. Visual Anchor / Locked &amp; Editable Regions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Region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Locked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可變內容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Global Shell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Header/Sidebar/Brand/visual tokens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僅 current page active state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View Bar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4 views 順序與同頁切換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badge/real blockers 可動態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Workspace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68/32 primary topology、Profile selection continuity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table rows / filter / selected profile / modal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Professional Panel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欄位順序與 read-only 性質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registered metadata / projections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Workbench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Candidate→Preflight→Compile→Sandbox→Decision 邏輯順序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actual results / eligibility / reasons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Operations Rail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Job/Cost/Incident canonical table-first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records / filters / detail drawer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Action Dock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一個 dominant CTA 上限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依 state/permission 切換合法 actions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23. Visual Preview — Provider / API 設定</w:t>
      </w:r>
    </w:p>
    <w:p>
      <w:r>
        <w:drawing>
          <wp:inline xmlns:a="http://schemas.openxmlformats.org/drawingml/2006/main" xmlns:pic="http://schemas.openxmlformats.org/drawingml/2006/picture">
            <wp:extent cx="6537960" cy="3677602"/>
            <wp:docPr id="1" name="Picture 1" descr="AIAPI-01 Provider/API 設定工作區設計示意：Profile table、Professional Description、Credential 與 Profile Editor。" title="AIAPI-01 Provider/API 設定工作區設計示意：Profile table、Professional Description、Credential 與 Profile Editor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API01_PROVIDER_API_WORKBEN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7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TC" w:hAnsi="Noto Sans CJK TC" w:eastAsia="Noto Sans CJK TC"/>
          <w:b w:val="0"/>
          <w:color w:val="5C6078"/>
          <w:sz w:val="14"/>
        </w:rPr>
        <w:t>設計意圖：選取 Profile 後不離開頁面；右側固定為 read-only 專業說明，Effectful CRUD/Test/Credential 走 Modal/Drawer。示意資料僅用於版面結構，不代表 Production Provider 狀態或價格。</w:t>
      </w:r>
    </w:p>
    <w:p>
      <w:pPr>
        <w:pStyle w:val="Heading1"/>
        <w:spacing w:before="100" w:after="40"/>
      </w:pPr>
      <w:r>
        <w:t>24. Visual Preview — Routing / Operations</w:t>
      </w:r>
    </w:p>
    <w:p>
      <w:r>
        <w:drawing>
          <wp:inline xmlns:a="http://schemas.openxmlformats.org/drawingml/2006/main" xmlns:pic="http://schemas.openxmlformats.org/drawingml/2006/picture">
            <wp:extent cx="6537960" cy="3677602"/>
            <wp:docPr id="2" name="Picture 2" descr="AIAPI-01 路由測試與作業監控設計示意：Candidate Group、Preflight、Compile、Sandbox、Route Decision、Queue、Incident。" title="AIAPI-01 路由測試與作業監控設計示意：Candidate Group、Preflight、Compile、Sandbox、Route Decision、Queue、Incident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API01_ROUTING_OPERATIONS_WORKBEN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7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TC" w:hAnsi="Noto Sans CJK TC" w:eastAsia="Noto Sans CJK TC"/>
          <w:b w:val="0"/>
          <w:color w:val="5C6078"/>
          <w:sz w:val="14"/>
        </w:rPr>
        <w:t>設計意圖：路由硬條件、Compile lineage、Sandbox 隔離、Quarantine/Queue/Incident 在同一 operational context 下可見；高風險 Restore / Kill Switch 維持條件式顯示。</w:t>
      </w:r>
    </w:p>
    <w:p>
      <w:pPr>
        <w:pStyle w:val="Heading1"/>
        <w:spacing w:before="100" w:after="40"/>
      </w:pPr>
      <w:r>
        <w:t>25. Validation Plan / 7-Pass Closure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Pass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驗證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1 Authority / Naming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Page/Section/Control/Entity/Operation UID 唯一，無平行 AI API Center。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2 Functional Completeness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Entity × REQUIRED Operation、完整 functional chain、next state / recovery 無斷鏈。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3 Interaction Topology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selection、Route basis、Job lineage 不因換 view/drawer 靜默遺失。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4 Security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 plaintext 0 leakage；permission/server gate、sandbox secret isolation、callback verification。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5 Runtime Binding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所有 effectful control 對應 exact registered operation；Queue Probe/Route/Quarantine/Provider Profile 可追溯。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6 Visual / Responsive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1280+ desktop、68/32、drawer、overflow、text capacity、focus、no overlap/clipping。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7 Truth / Regression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No fake Provider/Model/Cost/Health；missing=—；legacy multi-page UI 不復活；external provider success only by real evidence。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26. Acceptance / Design Definition of Done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DoD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通過條件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Single Current Page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只有 admin:AIAPI-01；4 views 都在同一頁。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Profile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Create / Update / Get / List / Test / Retire 只走正式 operations。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Set / Delete；raw secret never returned/rendered/logged/exported。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Professional Description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固定 decision-support panel；只讀 registered metadata/projections。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Capability Governance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Configure / Approve / Enable 受 exact gate / version / audit。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&amp; Sandbox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/ Preflight / Compile / Sandbox / Route Decision / Quarantine / Queue diagnostic 完整且無 frontend override。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Instruction Continuity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Canonical Instruction provider-neutral；fallback 重新 compile；adapter 不改語意。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 &amp; Cost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Job/Attempt/Callback/Artifact/Cost/Budget/Incident 具 exact lineage；finance mask/deny。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Security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Secret / callback / sandbox / quarantine / kill-switch hard boundaries 成立。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No Duplicate System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無第二套 Provider Registry / Secret DB / Router / Job store。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UI Necessity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低頻 Audit/Docs/Error 放 Drawer；一個 context 最多一個 dominant CTA。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Truthful Runtime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文件是施工設計；Production / external provider success 必須由後續 runtime/evidence 驗證，不由 Word 宣稱。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27. Construction Mapping / Next Transition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施工層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必須落地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Frontend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4 same-page views、Profile table + professional panel、Route workbench、Operations table、drawer/modal、state/error presentation。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Command Port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Profile/Credential/Governance/Route/Sandbox/Quarantine/Queue/Kill Switch exact typed binding。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Server Runtime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Identity/page command authorization、provider command runtime、provider HTTP adapter、queue runtime。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Persistence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profiles、tests、secret references、group/member refs、quarantine、route preflight/decision/attempt、job/artifact/cost/audit owners。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QA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Unit + permission + secret leak + sandbox isolation + route eligibility + callback verification + retry lineage + visual geometry + E2E。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Release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Exact-head gates + post-deploy smoke + external provider tests only with approved real profile/capability/secret configuration。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EE9FF"/>
            <w:tcBorders>
              <w:top w:val="single" w:sz="6" w:color="B7A7EF"/>
              <w:left w:val="single" w:sz="6" w:color="B7A7EF"/>
              <w:bottom w:val="single" w:sz="6" w:color="B7A7EF"/>
              <w:right w:val="single" w:sz="6" w:color="B7A7EF"/>
              <w:insideH w:val="single" w:sz="6" w:color="B7A7EF"/>
              <w:insideV w:val="single" w:sz="6" w:color="B7A7EF"/>
            </w:tcBorders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Freeze Rule｜</w:t>
            </w:r>
            <w:r>
              <w:rPr>
                <w:rFonts w:ascii="Noto Sans CJK TC" w:hAnsi="Noto Sans CJK TC" w:eastAsia="Noto Sans CJK TC"/>
                <w:sz w:val="16"/>
              </w:rPr>
              <w:t>本文件完成的是 AIAPI-01 的頁面／功能／互動／施工設計閉環。任何未註冊的 Provider capability、API path、credential behavior、pricing 或 runtime effect 不得因文件方便而自動新增。</w:t>
            </w:r>
          </w:p>
        </w:tc>
        <w:trPr>
          <w:tblHeader/>
        </w:trPr>
      </w:tr>
    </w:tbl>
    <w:p>
      <w:pPr>
        <w:spacing w:after="20"/>
      </w:pPr>
    </w:p>
    <w:p>
      <w:pPr>
        <w:sectPr>
          <w:pgSz w:w="11906" w:h="16838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AIAPI-01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authority/pages/admin/AIAPI-01/ACPOS_AIAPI-01_FINAL_LOCKED_ENCODING.yaml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59367ec224aff397f25e9963cb22b166ced5eeac3d332111b58cc7980aecd5c8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CTRL-ADMIN-AIAPI-06-PROVIDER-MODEL-PROFILES-CREATE-PROFILE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新增 Provider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 Modal；schema/gate/permission required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control:CTRL-ADMIN-AIAPI-06-PROVIDER-MODEL-PROFILES-CREATE-PROFILE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createProviderModelProfile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/v1/aiapi/provider-profiles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CTRL-ADMIN-AIAPI-06-PROVIDER-MODEL-PROFILES-UPDATE-PROFILE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編輯 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Expected version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control:CTRL-ADMIN-AIAPI-06-PROVIDER-MODEL-PROFILES-UPDATE-PROFILE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updateProviderModelProfile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PATCH /v1/aiapi/provider-profiles/{profileId}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CTRL-ADMIN-AIAPI-06-PROVIDER-MODEL-PROFILES-VIEW-PROFILE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 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Drawer / read-only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control:CTRL-ADMIN-AIAPI-06-PROVIDER-MODEL-PROFILES-VIEW-PROFILE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getProviderModelProfile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/v1/aiapi/provider-profiles/{profileId}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CTRL-ADMIN-AIAPI-06-PROVIDER-MODEL-PROFILES-TEST-PROFILE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連線測試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Secret ref + adapter required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control:CTRL-ADMIN-AIAPI-06-PROVIDER-MODEL-PROFILES-TEST-PROFILE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testProviderModelProfile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/v1/aiapi/provider-profiles/{profileId}/test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acpos_runtime.provider_profile_tests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CTRL-ADMIN-AIAPI-06-PROVIDER-MODEL-PROFILES-RETIRE-PROFILE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退役 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State guarded; never hard delete runtime history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control:CTRL-ADMIN-AIAPI-06-PROVIDER-MODEL-PROFILES-RETIRE-PROFILE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retireProviderModelProfile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/v1/aiapi/provider-profiles/{profileId}/retire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CTRL-ADMIN-AIAPI-06-PROVIDER-MODEL-PROFILES-SET-CREDENTIAL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設定 API 金鑰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Write-only; secret env/reference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control:CTRL-ADMIN-AIAPI-06-PROVIDER-MODEL-PROFILES-SET-CREDENTIAL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setProviderModelCredential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PUT /v1/aiapi/provider-profiles/{profileId}/credential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public.secret_references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CTRL-ADMIN-AIAPI-06-PROVIDER-MODEL-PROFILES-DELETE-CREDENTIAL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刪除 API 金鑰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Reason/confirmation; no old value in response/log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control:CTRL-ADMIN-AIAPI-06-PROVIDER-MODEL-PROFILES-DELETE-CREDENTIAL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deleteProviderModelCredential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DELETE /v1/aiapi/provider-profiles/{profileId}/credential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public.secret_references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AIAPI-01-BTN-CONFIGURE-GOVERNED-RESOURCE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設定 Capability/Policy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Exact governed resource ref</w:t>
            </w:r>
          </w:p>
        </w:tc>
        <w:tc>
          <w:tcPr>
            <w:tcW w:type="dxa" w:w="1218"/>
          </w:tcPr>
          <w:p>
            <w:r>
              <w:t>quality.criteria.configure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218"/>
          </w:tcPr>
          <w:p>
            <w:r>
              <w:t>Resolved Governed Resource Canonical Owner / Governance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AIAPI-01-BTN-APPROVE-GOVERNED-RESOURCE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核准 Capability/Policy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Version + rationale + audit</w:t>
            </w:r>
          </w:p>
        </w:tc>
        <w:tc>
          <w:tcPr>
            <w:tcW w:type="dxa" w:w="1218"/>
          </w:tcPr>
          <w:p>
            <w:r>
              <w:t>governance.approve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218"/>
          </w:tcPr>
          <w:p>
            <w:r>
              <w:t>Resolved Governed Resource Canonical Owner / Approval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CTRL-ADMIN-AIAPI-05-PROVIDER-CANDIDATE-GROUPS-CREATE-GROUP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 Candidate Group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Group + ordered member refs + limits only by exact schema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control:CTRL-ADMIN-AIAPI-05-PROVIDER-CANDIDATE-GROUPS-CREATE-GROUP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createProviderCandidateGroup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/v1/aiapi/provider-groups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acpos_runtime.provider_groups; acpos_runtime.provider_members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AIAPI-01-BTN-RUN-SANDBOX-TEST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Sandbox 測試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admin:AIAPI-08:ACT-SYSTEM-TEST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Production secret/output forbidden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action:admin:AIAPI-08:ACT-SYSTEM-TEST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runSandboxTest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/v1/aiapi/sandbox-tests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t>ACPOS-AI-03 Sandbox Evidence / Audit Lineage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CTRL-ADMIN-AIAPI-08-ROUTE-SIMULATION-EXECUTE-ROUTE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執行 Route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All hard gates + queue + approved capability/profile/secret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control:CTRL-ADMIN-AIAPI-08-ROUTE-SIMULATION-EXECUTE-ROUTE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executeProviderRoute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/v1/aiapi/routes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acpos_runtime.provider_route_preflights; acpos_runtime.provider_route_decisions; acpos_runtime.provider_route_attempts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CTRL-ADMIN-AIAPI-08-ROUTE-SIMULATION-VIEW-ROUTE-DECISION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 Route 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Read-only exact 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control:CTRL-ADMIN-AIAPI-08-ROUTE-SIMULATION-VIEW-ROUTE-DECISION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getProviderRouteDecision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/v1/aiapi/routes/{routeDecisionId}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acpos_runtime.provider_route_decisions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CTRL-ADMIN-AIAPI-05-PROVIDER-CANDIDATE-GROUPS-VIEW-QUARANTINE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 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Read-only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control:CTRL-ADMIN-AIAPI-05-PROVIDER-CANDIDATE-GROUPS-VIEW-QUARANTINE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getProviderQuarantine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/v1/aiapi/quarantine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CTRL-ADMIN-AIAPI-05-PROVIDER-CANDIDATE-GROUPS-RESTORE-PROVIDER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Restore 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Reason + audit; bypass forbidden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control:CTRL-ADMIN-AIAPI-05-PROVIDER-CANDIDATE-GROUPS-RESTORE-PROVIDER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restoreProviderFromQuarantine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/v1/aiapi/quarantine/{quarantineId}/restore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AIAPI-01-BTN-RUN-PROVIDER-QUEUE-PROBE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Queue Probe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Diagnostic only; no provider external call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page:admin:AIAPI-01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runProviderQueueProbe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/v1/aiapi/queue/probe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PROVIDER_EXECUTION_QUEUE_RUNTIME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public.queues; public.workers; public.outbox_events; public.inbox_events; public.dead_letters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CTRL-ADMIN-AIAPI-09-ACT-02-ACT-KILL-SWITCH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Kill 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High-risk confirmation + reason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control:CTRL-ADMIN-AIAPI-09-ACT-02-ACT-KILL-SWITCH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t>ACPOS-AI-03 Operational Control State / Audit Lineage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</w:tbl>
    <w:p>
      <w:pPr>
        <w:pStyle w:val="Heading3"/>
      </w:pPr>
      <w:r>
        <w:t>AIAPI Control UID Provenance</w:t>
      </w:r>
    </w:p>
    <w:p>
      <w:r>
        <w:t>Where the operation registry already supplies a control:* authorization resource, that exact control resource is reused. For current single-page UI operations that exist in the page UI + operation registry but expose only an action/page authorization resource, this closure creates a deterministic AIAPI-01-BTN-&lt;OPERATION&gt; construction UID and marks UID Status as NEW_CONSTRUCTION_UID_FROM_EXISTING_CURRENT_UI_OPERATION. The operation, path, authorization owner, payload fields and runtime are not changed.</w:t>
      </w:r>
    </w:p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8" w:h="11906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Batch 13 · Action UID Applicability Ledger</w:t>
      </w:r>
    </w:p>
    <w:p>
      <w:r>
        <w:rPr>
          <w:b/>
        </w:rPr>
        <w:t xml:space="preserve">[ACPOS-20260921-BATCH-13-EXPLICIT-NA-ACTION-SEMANTICS-V1::PAGE::AIAPI-01] </w:t>
      </w:r>
      <w:r>
        <w:t>This ledger records applicability only. Product Control Registry rows remain unchanged; Action UID stays '—'. These rows MUST NOT be parsed as additional product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8"/>
        <w:gridCol w:w="2208"/>
        <w:gridCol w:w="2208"/>
        <w:gridCol w:w="2208"/>
        <w:gridCol w:w="2208"/>
      </w:tblGrid>
      <w:tr>
        <w:trPr>
          <w:tblHeader w:val="true"/>
        </w:trPr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Target UID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Field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Current Cell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Applicability Class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Required Handling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AIAPI-01-BTN-APPROVE-GOVERNED-RESOURCE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AIAPI-01-BTN-CONFIGURE-GOVERNED-RESOURCE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AIAPI-01-BTN-RUN-PROVIDER-QUEUE-PROBE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CTRL-ADMIN-AIAPI-05-PROVIDER-CANDIDATE-GROUPS-CREATE-GROUP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CTRL-ADMIN-AIAPI-05-PROVIDER-CANDIDATE-GROUPS-RESTORE-PROVIDER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CTRL-ADMIN-AIAPI-05-PROVIDER-CANDIDATE-GROUPS-VIEW-QUARANTINE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CTRL-ADMIN-AIAPI-06-PROVIDER-MODEL-PROFILES-CREATE-PROFILE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CTRL-ADMIN-AIAPI-06-PROVIDER-MODEL-PROFILES-DELETE-CREDENTIAL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CTRL-ADMIN-AIAPI-06-PROVIDER-MODEL-PROFILES-RETIRE-PROFILE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CTRL-ADMIN-AIAPI-06-PROVIDER-MODEL-PROFILES-SET-CREDENTIAL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CTRL-ADMIN-AIAPI-06-PROVIDER-MODEL-PROFILES-TEST-PROFILE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CTRL-ADMIN-AIAPI-06-PROVIDER-MODEL-PROFILES-UPDATE-PROFILE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CTRL-ADMIN-AIAPI-06-PROVIDER-MODEL-PROFILES-VIEW-PROFILE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CTRL-ADMIN-AIAPI-08-ROUTE-SIMULATION-EXECUTE-ROUTE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CTRL-ADMIN-AIAPI-08-ROUTE-SIMULATION-VIEW-ROUTE-DECISION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CTRL-ADMIN-AIAPI-09-ACT-02-ACT-KILL-SWITCH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</w:tbl>
    <w:p>
      <w:pPr>
        <w:sectPr>
          <w:pgSz w:w="11906" w:h="16838" w:orient="landscape"/>
          <w:pgMar w:top="490" w:right="432" w:bottom="490" w:left="432" w:header="283" w:footer="283" w:gutter="0"/>
          <w:cols w:space="720"/>
          <w:docGrid w:linePitch="360"/>
        </w:sectPr>
      </w:pPr>
    </w:p>
    <w:p>
      <w:pPr>
        <w:pStyle w:val="Heading1"/>
      </w:pPr>
      <w:r>
        <w:t>Batch 38 · AIAPI Persistence Binding Ledger</w:t>
      </w:r>
    </w:p>
    <w:p>
      <w:r>
        <w:rPr>
          <w:b/>
        </w:rPr>
        <w:t xml:space="preserve">[ACPOS-20260922-BATCH-38-SYSTEM03-PERSISTENCE-REMEDIATION-V1::PAGE::AIAPI-01] </w:t>
      </w:r>
      <w:r>
        <w:t>These four Persistence Owner bindings preserve existing Method/Path, Payload/Schema, Runtime Owner and Runtime Status. Governed-resource persistence remains with the exact resolved resource owner; sandbox and kill-switch evidence remain AI-03 operational/audit concerns. No Production execution claim is made.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8"/>
        <w:gridCol w:w="4008"/>
        <w:gridCol w:w="4008"/>
        <w:gridCol w:w="4008"/>
      </w:tblGrid>
      <w:tr>
        <w:trPr>
          <w:tblHeader w:val="true"/>
        </w:trPr>
        <w:tc>
          <w:tcPr>
            <w:tcW w:type="dxa" w:w="400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400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400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400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Required Semantics</w:t>
            </w:r>
          </w:p>
        </w:tc>
      </w:tr>
      <w:tr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AIAPI-01-BTN-CONFIGURE-GOVERNED-RESOURCE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configureGovernedResource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Resolved Governed Resource Canonical Owner / Governance Audit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The command configures an exact governed resource. AIAPI/IAM runtime must not steal domain persistence ownership; the exact resource owner persists state while governance audit preserves actor/correlation/version evidence.</w:t>
            </w:r>
          </w:p>
        </w:tc>
      </w:tr>
      <w:tr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AIAPI-01-BTN-APPROVE-GOVERNED-RESOURCE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approveGovernedResource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Resolved Governed Resource Canonical Owner / Approval Audit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Approval writes the governed resource's approved/version state under its canonical owner and preserves separate approver/rationale/audit evidence.</w:t>
            </w:r>
          </w:p>
        </w:tc>
      </w:tr>
      <w:tr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AIAPI-01-BTN-RUN-SANDBOX-TEST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runSandboxTest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ACPOS-AI-03 Sandbox Evidence / Audit Lineage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Sandbox may persist isolated test evidence and lineage only; Production secret/output writes and Production-pass claims remain forbidden.</w:t>
            </w:r>
          </w:p>
        </w:tc>
      </w:tr>
      <w:tr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CTRL-ADMIN-AIAPI-09-ACT-02-ACT-KILL-SWITCH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setKillSwitch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ACPOS-AI-03 Operational Control State / Audit Lineage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Kill switch is a server-side operational gate that dominates execution; state transition and authorized reason/correlation/audit evidence must remain reconstructable.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8"/>
        <w:gridCol w:w="4008"/>
        <w:gridCol w:w="4008"/>
        <w:gridCol w:w="4008"/>
      </w:tblGrid>
      <w:tr>
        <w:trPr>
          <w:tblHeader w:val="true"/>
        </w:trPr>
        <w:tc>
          <w:tcPr>
            <w:tcW w:type="dxa" w:w="400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T5R11[—]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T5R11[High-risk]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T5R11[Runtime]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T5R11[Governed]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T5R3[Delete]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T5R3[R]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T5R3[R]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T5R3[—]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T5R3[R]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T5R3[Set/Delete]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T5R3[R]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T5R3[R]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T5R3[—]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T5R3[—]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T5R4[Disable]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T5R4[Approve]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T5R4[—]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T5R4[Configure]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T5R12[—]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T5R12[—]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T5R12[Runtime]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T5R12[Profile-only]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T5R5[—]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T5R5[—]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T5R5[Create]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T5R5[Bounded]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T5R10[—]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T5R10[—]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T5R10[Runtime]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T5R10[Runtime]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T5R2[Retire]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T5R9[—]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T5R9[Confirm]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T5R9[—]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T5R9[Restore]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T5R8[—]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T5R8[—]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T5R8[Execute]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T5R8[—]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T5R6[—]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T5R6[—]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T5R6[—]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T5R6[—]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T5R7[—]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T5R7[—]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T5R7[Run]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T5R7[—]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Design System / Layout Closure｜設計系統與版面補齊</w:t>
      </w:r>
    </w:p>
    <w:p>
      <w:r>
        <w:t>[ACPOS-DESIGN-CLOSURE:AIAPI-01:DESIGN-SYSTEM]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Color Tokens</w:t>
            </w:r>
          </w:p>
        </w:tc>
        <w:tc>
          <w:tcPr>
            <w:tcW w:type="dxa" w:w="8016"/>
          </w:tcPr>
          <w:p>
            <w: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c>
          <w:tcPr>
            <w:tcW w:type="dxa" w:w="8016"/>
          </w:tcPr>
          <w:p>
            <w:r>
              <w:t>Typography Tokens</w:t>
            </w:r>
          </w:p>
        </w:tc>
        <w:tc>
          <w:tcPr>
            <w:tcW w:type="dxa" w:w="8016"/>
          </w:tcPr>
          <w:p>
            <w:r>
              <w:t>SHARED_OWNER_REFERENCE → current Global Design System typography; page-local text hierarchy may only use registered heading/body/label/technical text roles.</w:t>
            </w:r>
          </w:p>
        </w:tc>
      </w:tr>
      <w:tr>
        <w:tc>
          <w:tcPr>
            <w:tcW w:type="dxa" w:w="8016"/>
          </w:tcPr>
          <w:p>
            <w:r>
              <w:t>Spacing Tokens</w:t>
            </w:r>
          </w:p>
        </w:tc>
        <w:tc>
          <w:tcPr>
            <w:tcW w:type="dxa" w:w="8016"/>
          </w:tcPr>
          <w:p>
            <w:r>
              <w:t>Use registered gap/padding/spacing tokens; existing exact page gaps remain authoritative; no ad-hoc pixel drift.</w:t>
            </w:r>
          </w:p>
        </w:tc>
      </w:tr>
      <w:tr>
        <w:tc>
          <w:tcPr>
            <w:tcW w:type="dxa" w:w="8016"/>
          </w:tcPr>
          <w:p>
            <w:r>
              <w:t>Component States</w:t>
            </w:r>
          </w:p>
        </w:tc>
        <w:tc>
          <w:tcPr>
            <w:tcW w:type="dxa" w:w="8016"/>
          </w:tcPr>
          <w:p>
            <w: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c>
          <w:tcPr>
            <w:tcW w:type="dxa" w:w="8016"/>
          </w:tcPr>
          <w:p>
            <w:r>
              <w:t>Primary Layout</w:t>
            </w:r>
          </w:p>
        </w:tc>
        <w:tc>
          <w:tcPr>
            <w:tcW w:type="dxa" w:w="8016"/>
          </w:tcPr>
          <w:p>
            <w:r>
              <w:t>Use this Word's existing Primary Grid / Section / Workspace layout as the page-local authority; this annex introduces no second grid.</w:t>
            </w:r>
          </w:p>
        </w:tc>
      </w:tr>
      <w:tr>
        <w:tc>
          <w:tcPr>
            <w:tcW w:type="dxa" w:w="8016"/>
          </w:tcPr>
          <w:p>
            <w:r>
              <w:t>Navigation Region</w:t>
            </w:r>
          </w:p>
        </w:tc>
        <w:tc>
          <w:tcPr>
            <w:tcW w:type="dxa" w:w="8016"/>
          </w:tcPr>
          <w:p>
            <w:r>
              <w:t>Global Header and collapsible/overlay Sidebar remain shared shell regions; page Workspace starts in the registered content region.</w:t>
            </w:r>
          </w:p>
        </w:tc>
      </w:tr>
      <w:tr>
        <w:tc>
          <w:tcPr>
            <w:tcW w:type="dxa" w:w="8016"/>
          </w:tcPr>
          <w:p>
            <w:r>
              <w:t>Responsive Behavior</w:t>
            </w:r>
          </w:p>
        </w:tc>
        <w:tc>
          <w:tcPr>
            <w:tcW w:type="dxa" w:w="8016"/>
          </w:tcPr>
          <w:p>
            <w:r>
              <w:t>Use the current page responsive rule and shared shell breakpoint owner; semantic order and functional topology MUST remain stable across reflow.</w:t>
            </w:r>
          </w:p>
        </w:tc>
      </w:tr>
      <w:tr>
        <w:tc>
          <w:tcPr>
            <w:tcW w:type="dxa" w:w="8016"/>
          </w:tcPr>
          <w:p>
            <w:r>
              <w:t>Design Ownership</w:t>
            </w:r>
          </w:p>
        </w:tc>
        <w:tc>
          <w:tcPr>
            <w:tcW w:type="dxa" w:w="8016"/>
          </w:tcPr>
          <w:p>
            <w: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</w:pPr>
      <w:r>
        <w:t>Visual Geometry Contract Closure｜視覺幾何補齊</w:t>
      </w:r>
    </w:p>
    <w:p>
      <w:r>
        <w:t>[ACPOS-DESIGN-CLOSURE:AIAPI-01:GEOMETRY]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Viewport / Breakpoint UID</w:t>
            </w:r>
          </w:p>
        </w:tc>
        <w:tc>
          <w:tcPr>
            <w:tcW w:type="dxa" w:w="8016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8016"/>
          </w:tcPr>
          <w:p>
            <w:r>
              <w:t>Container Width / Min / Max</w:t>
            </w:r>
          </w:p>
        </w:tc>
        <w:tc>
          <w:tcPr>
            <w:tcW w:type="dxa" w:w="8016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8016"/>
          </w:tcPr>
          <w:p>
            <w:r>
              <w:t>Grid Columns / Span / Gutter / Outer Margin</w:t>
            </w:r>
          </w:p>
        </w:tc>
        <w:tc>
          <w:tcPr>
            <w:tcW w:type="dxa" w:w="8016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8016"/>
          </w:tcPr>
          <w:p>
            <w:r>
              <w:t>Section Bounding Rules</w:t>
            </w:r>
          </w:p>
        </w:tc>
        <w:tc>
          <w:tcPr>
            <w:tcW w:type="dxa" w:w="8016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8016"/>
          </w:tcPr>
          <w:p>
            <w:r>
              <w:t>Component / Control / Field Width / Height Rules</w:t>
            </w:r>
          </w:p>
        </w:tc>
        <w:tc>
          <w:tcPr>
            <w:tcW w:type="dxa" w:w="8016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8016"/>
          </w:tcPr>
          <w:p>
            <w:r>
              <w:t>Min / Max Width / Height</w:t>
            </w:r>
          </w:p>
        </w:tc>
        <w:tc>
          <w:tcPr>
            <w:tcW w:type="dxa" w:w="8016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8016"/>
          </w:tcPr>
          <w:p>
            <w:r>
              <w:t>Gap / Padding / Alignment</w:t>
            </w:r>
          </w:p>
        </w:tc>
        <w:tc>
          <w:tcPr>
            <w:tcW w:type="dxa" w:w="8016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8016"/>
          </w:tcPr>
          <w:p>
            <w:r>
              <w:t>Aspect Ratio</w:t>
            </w:r>
          </w:p>
        </w:tc>
        <w:tc>
          <w:tcPr>
            <w:tcW w:type="dxa" w:w="8016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8016"/>
          </w:tcPr>
          <w:p>
            <w:r>
              <w:t>Overflow / Scroll Rule</w:t>
            </w:r>
          </w:p>
        </w:tc>
        <w:tc>
          <w:tcPr>
            <w:tcW w:type="dxa" w:w="8016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8016"/>
          </w:tcPr>
          <w:p>
            <w:r>
              <w:t>Collapse / Stack / Wrap Rule</w:t>
            </w:r>
          </w:p>
        </w:tc>
        <w:tc>
          <w:tcPr>
            <w:tcW w:type="dxa" w:w="8016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8016"/>
          </w:tcPr>
          <w:p>
            <w:r>
              <w:t>Z-order / Overlay Rule</w:t>
            </w:r>
          </w:p>
        </w:tc>
        <w:tc>
          <w:tcPr>
            <w:tcW w:type="dxa" w:w="8016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8016"/>
          </w:tcPr>
          <w:p>
            <w:r>
              <w:t>Text Capacity / Truncation / Wrap Rule</w:t>
            </w:r>
          </w:p>
        </w:tc>
        <w:tc>
          <w:tcPr>
            <w:tcW w:type="dxa" w:w="8016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8016"/>
          </w:tcPr>
          <w:p>
            <w:r>
              <w:t>Asset Object-fit / Object-position</w:t>
            </w:r>
          </w:p>
        </w:tc>
        <w:tc>
          <w:tcPr>
            <w:tcW w:type="dxa" w:w="8016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8016"/>
          </w:tcPr>
          <w:p>
            <w:r>
              <w:t>Locked Visual Anchors</w:t>
            </w:r>
          </w:p>
        </w:tc>
        <w:tc>
          <w:tcPr>
            <w:tcW w:type="dxa" w:w="8016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8016"/>
          </w:tcPr>
          <w:p>
            <w:r>
              <w:t>Allowed Tolerance / Diff Threshold</w:t>
            </w:r>
          </w:p>
        </w:tc>
        <w:tc>
          <w:tcPr>
            <w:tcW w:type="dxa" w:w="8016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8016"/>
          </w:tcPr>
          <w:p>
            <w:r>
              <w:t>Geometry Failure Set</w:t>
            </w:r>
          </w:p>
        </w:tc>
        <w:tc>
          <w:tcPr>
            <w:tcW w:type="dxa" w:w="8016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</w:pPr>
      <w:r>
        <w:t>Visual Anchor / Preview / Review Contract｜視覺錨點與預覽審查補齊</w:t>
      </w:r>
    </w:p>
    <w:p>
      <w:r>
        <w:t>[ACPOS-DESIGN-CLOSURE:AIAPI-01:VISUAL]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c>
          <w:tcPr>
            <w:tcW w:type="dxa" w:w="3206"/>
          </w:tcPr>
          <w:p>
            <w:r>
              <w:t>Anchor UID</w:t>
            </w:r>
          </w:p>
        </w:tc>
        <w:tc>
          <w:tcPr>
            <w:tcW w:type="dxa" w:w="3206"/>
          </w:tcPr>
          <w:p>
            <w:r>
              <w:t>Position Rule</w:t>
            </w:r>
          </w:p>
        </w:tc>
        <w:tc>
          <w:tcPr>
            <w:tcW w:type="dxa" w:w="3206"/>
          </w:tcPr>
          <w:p>
            <w:r>
              <w:t>Dimension Rule</w:t>
            </w:r>
          </w:p>
        </w:tc>
        <w:tc>
          <w:tcPr>
            <w:tcW w:type="dxa" w:w="3206"/>
          </w:tcPr>
          <w:p>
            <w:r>
              <w:t>Relationship Rule</w:t>
            </w:r>
          </w:p>
        </w:tc>
        <w:tc>
          <w:tcPr>
            <w:tcW w:type="dxa" w:w="3206"/>
          </w:tcPr>
          <w:p>
            <w:r>
              <w:t>Lock Status</w:t>
            </w:r>
          </w:p>
        </w:tc>
      </w:tr>
      <w:tr>
        <w:tc>
          <w:tcPr>
            <w:tcW w:type="dxa" w:w="3206"/>
          </w:tcPr>
          <w:p>
            <w:r>
              <w:t>AIAPI-01-VA-HEADER</w:t>
            </w:r>
          </w:p>
        </w:tc>
        <w:tc>
          <w:tcPr>
            <w:tcW w:type="dxa" w:w="3206"/>
          </w:tcPr>
          <w:p>
            <w:r>
              <w:t>Fixed at top of shared shell</w:t>
            </w:r>
          </w:p>
        </w:tc>
        <w:tc>
          <w:tcPr>
            <w:tcW w:type="dxa" w:w="3206"/>
          </w:tcPr>
          <w:p>
            <w:r>
              <w:t>58px full-width according to current shell authority</w:t>
            </w:r>
          </w:p>
        </w:tc>
        <w:tc>
          <w:tcPr>
            <w:tcW w:type="dxa" w:w="3206"/>
          </w:tcPr>
          <w:p>
            <w:r>
              <w:t>Above Sidebar/Workspace; must not be covered by page content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AIAPI-01-VA-SIDEBAR</w:t>
            </w:r>
          </w:p>
        </w:tc>
        <w:tc>
          <w:tcPr>
            <w:tcW w:type="dxa" w:w="3206"/>
          </w:tcPr>
          <w:p>
            <w:r>
              <w:t>Fixed left rail under shared shell header</w:t>
            </w:r>
          </w:p>
        </w:tc>
        <w:tc>
          <w:tcPr>
            <w:tcW w:type="dxa" w:w="3206"/>
          </w:tcPr>
          <w:p>
            <w:r>
              <w:t>64px resting; 221px overlay expansion where current shell defines it</w:t>
            </w:r>
          </w:p>
        </w:tc>
        <w:tc>
          <w:tcPr>
            <w:tcW w:type="dxa" w:w="3206"/>
          </w:tcPr>
          <w:p>
            <w:r>
              <w:t>Overlay expansion must not silently change the approved page Primary Grid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AIAPI-01-VA-WORKSPACE</w:t>
            </w:r>
          </w:p>
        </w:tc>
        <w:tc>
          <w:tcPr>
            <w:tcW w:type="dxa" w:w="3206"/>
          </w:tcPr>
          <w:p>
            <w:r>
              <w:t>Current page primary content region below Header / beside resting rail</w:t>
            </w:r>
          </w:p>
        </w:tc>
        <w:tc>
          <w:tcPr>
            <w:tcW w:type="dxa" w:w="3206"/>
          </w:tcPr>
          <w:p>
            <w:r>
              <w:t>Use this Word's existing Primary Grid / section dimensions</w:t>
            </w:r>
          </w:p>
        </w:tc>
        <w:tc>
          <w:tcPr>
            <w:tcW w:type="dxa" w:w="3206"/>
          </w:tcPr>
          <w:p>
            <w:r>
              <w:t>Owns page-local section geometry; dialogs/drawers are overlays, not replacement layout</w:t>
            </w:r>
          </w:p>
        </w:tc>
        <w:tc>
          <w:tcPr>
            <w:tcW w:type="dxa" w:w="3206"/>
          </w:tcPr>
          <w:p>
            <w:r>
              <w:t>LOCKED_EXCEPT_AUTHORIZED_CHANGE_SET</w:t>
            </w:r>
          </w:p>
        </w:tc>
      </w:tr>
    </w:tbl>
    <w:p>
      <w:pPr>
        <w:pStyle w:val="Heading2"/>
      </w:pPr>
      <w:r>
        <w:t>Visual Generation / Review Planning Contract</w:t>
      </w:r>
    </w:p>
    <w:p>
      <w:r>
        <w:t>[ACPOS-DESIGN-CLOSURE:AIAPI-01:VISUAL-CONTRACT]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Current Canonical Visual</w:t>
            </w:r>
          </w:p>
        </w:tc>
        <w:tc>
          <w:tcPr>
            <w:tcW w:type="dxa" w:w="8016"/>
          </w:tcPr>
          <w:p>
            <w:r>
              <w:t>REFERENCE_ONLY → current visual/baseline already named in this Word or shared current visual owner. This annex does not replace it.</w:t>
            </w:r>
          </w:p>
        </w:tc>
      </w:tr>
      <w:tr>
        <w:tc>
          <w:tcPr>
            <w:tcW w:type="dxa" w:w="8016"/>
          </w:tcPr>
          <w:p>
            <w:r>
              <w:t>Visual Candidate UID</w:t>
            </w:r>
          </w:p>
        </w:tc>
        <w:tc>
          <w:tcPr>
            <w:tcW w:type="dxa" w:w="8016"/>
          </w:tcPr>
          <w:p>
            <w:r>
              <w:t>Generated candidate MUST receive a unique Visual UID and Parent Visual UID; no candidate is deemed approved merely by this annex.</w:t>
            </w:r>
          </w:p>
        </w:tc>
      </w:tr>
      <w:tr>
        <w:tc>
          <w:tcPr>
            <w:tcW w:type="dxa" w:w="8016"/>
          </w:tcPr>
          <w:p>
            <w:r>
              <w:t>Generation Manifest</w:t>
            </w:r>
          </w:p>
        </w:tc>
        <w:tc>
          <w:tcPr>
            <w:tcW w:type="dxa" w:w="8016"/>
          </w:tcPr>
          <w:p>
            <w: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c>
          <w:tcPr>
            <w:tcW w:type="dxa" w:w="8016"/>
          </w:tcPr>
          <w:p>
            <w:r>
              <w:t>Visual Preview</w:t>
            </w:r>
          </w:p>
        </w:tc>
        <w:tc>
          <w:tcPr>
            <w:tcW w:type="dxa" w:w="8016"/>
          </w:tcPr>
          <w:p>
            <w:r>
              <w:t>MUST represent the actual website structure, not a moodboard. Preview occurs after page/design specification and before Design Freeze.</w:t>
            </w:r>
          </w:p>
        </w:tc>
      </w:tr>
      <w:tr>
        <w:tc>
          <w:tcPr>
            <w:tcW w:type="dxa" w:w="8016"/>
          </w:tcPr>
          <w:p>
            <w:r>
              <w:t>Visual Review</w:t>
            </w:r>
          </w:p>
        </w:tc>
        <w:tc>
          <w:tcPr>
            <w:tcW w:type="dxa" w:w="8016"/>
          </w:tcPr>
          <w:p>
            <w:r>
              <w:t>Authorized reviewer checks function-to-visual mapping, geometry, anchors, responsive order, A11y/i18n and visual drift.</w:t>
            </w:r>
          </w:p>
        </w:tc>
      </w:tr>
      <w:tr>
        <w:tc>
          <w:tcPr>
            <w:tcW w:type="dxa" w:w="8016"/>
          </w:tcPr>
          <w:p>
            <w:r>
              <w:t>Approval Status</w:t>
            </w:r>
          </w:p>
        </w:tc>
        <w:tc>
          <w:tcPr>
            <w:tcW w:type="dxa" w:w="8016"/>
          </w:tcPr>
          <w:p>
            <w:r>
              <w:t>VISUAL_APPROVED is required before DESIGN_FROZEN. This planning annex does NOT self-approve the page.</w:t>
            </w:r>
          </w:p>
        </w:tc>
      </w:tr>
      <w:tr>
        <w:tc>
          <w:tcPr>
            <w:tcW w:type="dxa" w:w="8016"/>
          </w:tcPr>
          <w:p>
            <w:r>
              <w:t>Change Set / Drift</w:t>
            </w:r>
          </w:p>
        </w:tc>
        <w:tc>
          <w:tcPr>
            <w:tcW w:type="dxa" w:w="8016"/>
          </w:tcPr>
          <w:p>
            <w: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</w:pPr>
      <w:r>
        <w:t>Asset Registry / Binding Applicability Closure｜素材註冊與綁定補齊</w:t>
      </w:r>
    </w:p>
    <w:p>
      <w:r>
        <w:t>[ACPOS-DESIGN-CLOSURE:AIAPI-01:ASSET]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Page-local Asset Registry Applicability</w:t>
            </w:r>
          </w:p>
        </w:tc>
        <w:tc>
          <w:tcPr>
            <w:tcW w:type="dxa" w:w="8016"/>
          </w:tcPr>
          <w:p>
            <w:r>
              <w:t>REFERENCE_ONLY / CONDITIONAL. Existing page-owned formal Asset UID rows, if present, remain authoritative; this annex creates no duplicate Asset UID.</w:t>
            </w:r>
          </w:p>
        </w:tc>
      </w:tr>
      <w:tr>
        <w:tc>
          <w:tcPr>
            <w:tcW w:type="dxa" w:w="8016"/>
          </w:tcPr>
          <w:p>
            <w:r>
              <w:t>Shared Shell Assets</w:t>
            </w:r>
          </w:p>
        </w:tc>
        <w:tc>
          <w:tcPr>
            <w:tcW w:type="dxa" w:w="8016"/>
          </w:tcPr>
          <w:p>
            <w:r>
              <w:t>SHARED_OWNER_REFERENCE → Global Home / Design System owns logo, navigation icons, generic status icons and shared shell visuals; page MUST NOT clone them.</w:t>
            </w:r>
          </w:p>
        </w:tc>
      </w:tr>
      <w:tr>
        <w:tc>
          <w:tcPr>
            <w:tcW w:type="dxa" w:w="8016"/>
          </w:tcPr>
          <w:p>
            <w:r>
              <w:t>Dynamic Business Content</w:t>
            </w:r>
          </w:p>
        </w:tc>
        <w:tc>
          <w:tcPr>
            <w:tcW w:type="dxa" w:w="8016"/>
          </w:tcPr>
          <w:p>
            <w:r>
              <w:t>Provider logos, thumbnails, output previews, evidence images or other runtime/business data are NOT automatically design assets; they remain data/projection unless current page explicitly registers an Asset UID.</w:t>
            </w:r>
          </w:p>
        </w:tc>
      </w:tr>
      <w:tr>
        <w:tc>
          <w:tcPr>
            <w:tcW w:type="dxa" w:w="8016"/>
          </w:tcPr>
          <w:p>
            <w:r>
              <w:t>Binding Contract</w:t>
            </w:r>
          </w:p>
        </w:tc>
        <w:tc>
          <w:tcPr>
            <w:tcW w:type="dxa" w:w="8016"/>
          </w:tcPr>
          <w:p>
            <w:r>
              <w:t>Any formal page-owned asset MUST bind Page UID + Section UID + Component UID + Asset UID + position + width/height + aspect ratio + crop/object-fit/object-position + lock status.</w:t>
            </w:r>
          </w:p>
        </w:tc>
      </w:tr>
      <w:tr>
        <w:tc>
          <w:tcPr>
            <w:tcW w:type="dxa" w:w="8016"/>
          </w:tcPr>
          <w:p>
            <w:r>
              <w:t>Modification Rule</w:t>
            </w:r>
          </w:p>
        </w:tc>
        <w:tc>
          <w:tcPr>
            <w:tcW w:type="dxa" w:w="8016"/>
          </w:tcPr>
          <w:p>
            <w:r>
              <w:t>APPROVED/LOCKED assets may not be regenerated, recolored, cropped or repurposed without an authorized Change Set and Visual Review.</w:t>
            </w:r>
          </w:p>
        </w:tc>
      </w:tr>
      <w:tr>
        <w:tc>
          <w:tcPr>
            <w:tcW w:type="dxa" w:w="8016"/>
          </w:tcPr>
          <w:p>
            <w:r>
              <w:t>N/A Authority</w:t>
            </w:r>
          </w:p>
        </w:tc>
        <w:tc>
          <w:tcPr>
            <w:tcW w:type="dxa" w:w="8016"/>
          </w:tcPr>
          <w:p>
            <w:r>
              <w:t>When a page has no page-owned formal visual asset, page-local Asset Binding is NOT_APPLICABLE with this reason; shared assets remain referenced from their existing canonical owner.</w:t>
            </w:r>
          </w:p>
        </w:tc>
      </w:tr>
    </w:tbl>
    <w:p>
      <w:pPr>
        <w:pStyle w:val="Heading2"/>
      </w:pPr>
      <w:r>
        <w:t>Audit Baseline / Acceptance Matrix / Definition of Done Closure</w:t>
      </w:r>
    </w:p>
    <w:p>
      <w:r>
        <w:t>[ACPOS-DESIGN-CLOSURE:AIAPI-01:AUDIT]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Audit UID</w:t>
            </w:r>
          </w:p>
        </w:tc>
        <w:tc>
          <w:tcPr>
            <w:tcW w:type="dxa" w:w="8016"/>
          </w:tcPr>
          <w:p>
            <w:r>
              <w:t>AIAPI-01-AUD-DESIGN-001</w:t>
            </w:r>
          </w:p>
        </w:tc>
      </w:tr>
      <w:tr>
        <w:tc>
          <w:tcPr>
            <w:tcW w:type="dxa" w:w="8016"/>
          </w:tcPr>
          <w:p>
            <w:r>
              <w:t>Target UID</w:t>
            </w:r>
          </w:p>
        </w:tc>
        <w:tc>
          <w:tcPr>
            <w:tcW w:type="dxa" w:w="8016"/>
          </w:tcPr>
          <w:p>
            <w:r>
              <w:t>AIAPI-01</w:t>
            </w:r>
          </w:p>
        </w:tc>
      </w:tr>
      <w:tr>
        <w:tc>
          <w:tcPr>
            <w:tcW w:type="dxa" w:w="8016"/>
          </w:tcPr>
          <w:p>
            <w:r>
              <w:t>Required Audit Items</w:t>
            </w:r>
          </w:p>
        </w:tc>
        <w:tc>
          <w:tcPr>
            <w:tcW w:type="dxa" w:w="8016"/>
          </w:tcPr>
          <w:p>
            <w:r>
              <w:t>Requirement/Page identity where applicable; Architecture/Flow; Control/Field; Entity/Operation applicability; Cross-page/topology; Geometry; Visual Anchor/Preview contract; A11y/i18n; Asset applicability; Design Freeze package.</w:t>
            </w:r>
          </w:p>
        </w:tc>
      </w:tr>
      <w:tr>
        <w:tc>
          <w:tcPr>
            <w:tcW w:type="dxa" w:w="8016"/>
          </w:tcPr>
          <w:p>
            <w:r>
              <w:t>Required Tests</w:t>
            </w:r>
          </w:p>
        </w:tc>
        <w:tc>
          <w:tcPr>
            <w:tcW w:type="dxa" w:w="8016"/>
          </w:tcPr>
          <w:p>
            <w:r>
              <w:t>Word structural completeness audit; forward/reverse design-reference audit; DOCX render visual QA; design-only semantic consistency audit.</w:t>
            </w:r>
          </w:p>
        </w:tc>
      </w:tr>
      <w:tr>
        <w:tc>
          <w:tcPr>
            <w:tcW w:type="dxa" w:w="8016"/>
          </w:tcPr>
          <w:p>
            <w:r>
              <w:t>Required Evidence</w:t>
            </w:r>
          </w:p>
        </w:tc>
        <w:tc>
          <w:tcPr>
            <w:tcW w:type="dxa" w:w="8016"/>
          </w:tcPr>
          <w:p>
            <w:r>
              <w:t>Exact Word hash/tree identity; audit result; render page set; visual-review record when a candidate is generated.</w:t>
            </w:r>
          </w:p>
        </w:tc>
      </w:tr>
      <w:tr>
        <w:tc>
          <w:tcPr>
            <w:tcW w:type="dxa" w:w="8016"/>
          </w:tcPr>
          <w:p>
            <w:r>
              <w:t>Required Gates</w:t>
            </w:r>
          </w:p>
        </w:tc>
        <w:tc>
          <w:tcPr>
            <w:tcW w:type="dxa" w:w="8016"/>
          </w:tcPr>
          <w:p>
            <w:r>
              <w:t>Requirement, Naming, Architecture, Navigation, User Flow, Page Registry, Design System, Layout, Component, Asset applicability/binding, Page Design, Visual Preview/Review/Approval, Audit Baseline, Acceptance Matrix, DoD.</w:t>
            </w:r>
          </w:p>
        </w:tc>
      </w:tr>
      <w:tr>
        <w:tc>
          <w:tcPr>
            <w:tcW w:type="dxa" w:w="8016"/>
          </w:tcPr>
          <w:p>
            <w:r>
              <w:t>Acceptance Matrix</w:t>
            </w:r>
          </w:p>
        </w:tc>
        <w:tc>
          <w:tcPr>
            <w:tcW w:type="dxa" w:w="8016"/>
          </w:tcPr>
          <w:p>
            <w:r>
              <w:t>Every item is classified REQUIRED / OPTIONAL / NOT_APPLICABLE with owner/evidence. REQUIRED may not be downgraded merely to obtain PASS.</w:t>
            </w:r>
          </w:p>
        </w:tc>
      </w:tr>
      <w:tr>
        <w:tc>
          <w:tcPr>
            <w:tcW w:type="dxa" w:w="8016"/>
          </w:tcPr>
          <w:p>
            <w:r>
              <w:t>PASS Condition</w:t>
            </w:r>
          </w:p>
        </w:tc>
        <w:tc>
          <w:tcPr>
            <w:tcW w:type="dxa" w:w="8016"/>
          </w:tcPr>
          <w:p>
            <w:r>
              <w:t>All applicable REQUIRED planning/basic-design items are complete and internally consistent; no unresolved duplicate owner/reference or required design gap.</w:t>
            </w:r>
          </w:p>
        </w:tc>
      </w:tr>
      <w:tr>
        <w:tc>
          <w:tcPr>
            <w:tcW w:type="dxa" w:w="8016"/>
          </w:tcPr>
          <w:p>
            <w:r>
              <w:t>PARTIAL Condition</w:t>
            </w:r>
          </w:p>
        </w:tc>
        <w:tc>
          <w:tcPr>
            <w:tcW w:type="dxa" w:w="8016"/>
          </w:tcPr>
          <w:p>
            <w:r>
              <w:t>Only explicitly OPTIONAL or justified NOT_APPLICABLE design items remain; no REQUIRED item is missing.</w:t>
            </w:r>
          </w:p>
        </w:tc>
      </w:tr>
      <w:tr>
        <w:tc>
          <w:tcPr>
            <w:tcW w:type="dxa" w:w="8016"/>
          </w:tcPr>
          <w:p>
            <w:r>
              <w:t>FAIL Condition</w:t>
            </w:r>
          </w:p>
        </w:tc>
        <w:tc>
          <w:tcPr>
            <w:tcW w:type="dxa" w:w="8016"/>
          </w:tcPr>
          <w:p>
            <w:r>
              <w:t>Any REQUIRED planning/design contract, owner/reference, geometry, topology, acceptance condition or visual prerequisite is unresolved or contradictory.</w:t>
            </w:r>
          </w:p>
        </w:tc>
      </w:tr>
      <w:tr>
        <w:tc>
          <w:tcPr>
            <w:tcW w:type="dxa" w:w="8016"/>
          </w:tcPr>
          <w:p>
            <w:r>
              <w:t>Definition of Done</w:t>
            </w:r>
          </w:p>
        </w:tc>
        <w:tc>
          <w:tcPr>
            <w:tcW w:type="dxa" w:w="8016"/>
          </w:tcPr>
          <w:p>
            <w:r>
              <w:t>Current Word is self-contained enough for authorized construction handoff, while unresolved product choices remain explicitly blocked rather than invented.</w:t>
            </w:r>
          </w:p>
        </w:tc>
      </w:tr>
    </w:tbl>
    <w:p>
      <w:pPr>
        <w:pStyle w:val="Heading2"/>
      </w:pPr>
      <w:r>
        <w:t>Design Freeze Package Closure｜設計封板包補齊</w:t>
      </w:r>
    </w:p>
    <w:p>
      <w:r>
        <w:t>[ACPOS-DESIGN-CLOSURE:AIAPI-01:FREEZE]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Canonical UID</w:t>
            </w:r>
          </w:p>
        </w:tc>
        <w:tc>
          <w:tcPr>
            <w:tcW w:type="dxa" w:w="8016"/>
          </w:tcPr>
          <w:p>
            <w:r>
              <w:t>AIAPI-01</w:t>
            </w:r>
          </w:p>
        </w:tc>
      </w:tr>
      <w:tr>
        <w:tc>
          <w:tcPr>
            <w:tcW w:type="dxa" w:w="8016"/>
          </w:tcPr>
          <w:p>
            <w:r>
              <w:t>Canonical Name</w:t>
            </w:r>
          </w:p>
        </w:tc>
        <w:tc>
          <w:tcPr>
            <w:tcW w:type="dxa" w:w="8016"/>
          </w:tcPr>
          <w:p>
            <w:r>
              <w:t>AIAPI-01</w:t>
            </w:r>
          </w:p>
        </w:tc>
      </w:tr>
      <w:tr>
        <w:tc>
          <w:tcPr>
            <w:tcW w:type="dxa" w:w="8016"/>
          </w:tcPr>
          <w:p>
            <w:r>
              <w:t>Owner File</w:t>
            </w:r>
          </w:p>
        </w:tc>
        <w:tc>
          <w:tcPr>
            <w:tcW w:type="dxa" w:w="8016"/>
          </w:tcPr>
          <w:p>
            <w:r>
              <w:t>ACPOS_AIAPI-01_AI_API管理_Mother_Basic_Design_OPTIMIZED.docx</w:t>
            </w:r>
          </w:p>
        </w:tc>
      </w:tr>
      <w:tr>
        <w:tc>
          <w:tcPr>
            <w:tcW w:type="dxa" w:w="8016"/>
          </w:tcPr>
          <w:p>
            <w:r>
              <w:t>Page / Capability Spec</w:t>
            </w:r>
          </w:p>
        </w:tc>
        <w:tc>
          <w:tcPr>
            <w:tcW w:type="dxa" w:w="8016"/>
          </w:tcPr>
          <w:p>
            <w:r>
              <w:t>This current Word remains the single page design Canonical Owner.</w:t>
            </w:r>
          </w:p>
        </w:tc>
      </w:tr>
      <w:tr>
        <w:tc>
          <w:tcPr>
            <w:tcW w:type="dxa" w:w="8016"/>
          </w:tcPr>
          <w:p>
            <w:r>
              <w:t>Layout Mapping</w:t>
            </w:r>
          </w:p>
        </w:tc>
        <w:tc>
          <w:tcPr>
            <w:tcW w:type="dxa" w:w="8016"/>
          </w:tcPr>
          <w:p>
            <w:r>
              <w:t>REFERENCE → existing Page Layout / Primary Grid / Section mapping + Design System/Layout closure annex.</w:t>
            </w:r>
          </w:p>
        </w:tc>
      </w:tr>
      <w:tr>
        <w:tc>
          <w:tcPr>
            <w:tcW w:type="dxa" w:w="8016"/>
          </w:tcPr>
          <w:p>
            <w:r>
              <w:t>Component Mapping</w:t>
            </w:r>
          </w:p>
        </w:tc>
        <w:tc>
          <w:tcPr>
            <w:tcW w:type="dxa" w:w="8016"/>
          </w:tcPr>
          <w:p>
            <w:r>
              <w:t>REFERENCE → current Component/Section registry in this Word; no duplicate component inventory is introduced.</w:t>
            </w:r>
          </w:p>
        </w:tc>
      </w:tr>
      <w:tr>
        <w:tc>
          <w:tcPr>
            <w:tcW w:type="dxa" w:w="8016"/>
          </w:tcPr>
          <w:p>
            <w:r>
              <w:t>Control / Field Mapping</w:t>
            </w:r>
          </w:p>
        </w:tc>
        <w:tc>
          <w:tcPr>
            <w:tcW w:type="dxa" w:w="8016"/>
          </w:tcPr>
          <w:p>
            <w:r>
              <w:t>REFERENCE → current Control / Field / Action / Permission design tables and invariants in this Word.</w:t>
            </w:r>
          </w:p>
        </w:tc>
      </w:tr>
      <w:tr>
        <w:tc>
          <w:tcPr>
            <w:tcW w:type="dxa" w:w="8016"/>
          </w:tcPr>
          <w:p>
            <w:r>
              <w:t>Asset Mapping</w:t>
            </w:r>
          </w:p>
        </w:tc>
        <w:tc>
          <w:tcPr>
            <w:tcW w:type="dxa" w:w="8016"/>
          </w:tcPr>
          <w:p>
            <w:r>
              <w:t>REFERENCE → current page Asset Registry if any; otherwise explicit shared-owner / NOT_APPLICABLE asset rule in this annex.</w:t>
            </w:r>
          </w:p>
        </w:tc>
      </w:tr>
      <w:tr>
        <w:tc>
          <w:tcPr>
            <w:tcW w:type="dxa" w:w="8016"/>
          </w:tcPr>
          <w:p>
            <w:r>
              <w:t>Responsive Spec</w:t>
            </w:r>
          </w:p>
        </w:tc>
        <w:tc>
          <w:tcPr>
            <w:tcW w:type="dxa" w:w="8016"/>
          </w:tcPr>
          <w:p>
            <w:r>
              <w:t>REFERENCE → current page responsive rules + Visual Geometry closure annex.</w:t>
            </w:r>
          </w:p>
        </w:tc>
      </w:tr>
      <w:tr>
        <w:tc>
          <w:tcPr>
            <w:tcW w:type="dxa" w:w="8016"/>
          </w:tcPr>
          <w:p>
            <w:r>
              <w:t>Current Canonical Visual</w:t>
            </w:r>
          </w:p>
        </w:tc>
        <w:tc>
          <w:tcPr>
            <w:tcW w:type="dxa" w:w="8016"/>
          </w:tcPr>
          <w:p>
            <w:r>
              <w:t>REFERENCE → current visual/baseline already owned by this page/shared visual authority; candidate does not replace it without approval.</w:t>
            </w:r>
          </w:p>
        </w:tc>
      </w:tr>
      <w:tr>
        <w:tc>
          <w:tcPr>
            <w:tcW w:type="dxa" w:w="8016"/>
          </w:tcPr>
          <w:p>
            <w:r>
              <w:t>Generation Manifest</w:t>
            </w:r>
          </w:p>
        </w:tc>
        <w:tc>
          <w:tcPr>
            <w:tcW w:type="dxa" w:w="8016"/>
          </w:tcPr>
          <w:p>
            <w:r>
              <w:t>REQUIRED before a new candidate is generated; fields are defined by the Visual contract in this annex.</w:t>
            </w:r>
          </w:p>
        </w:tc>
      </w:tr>
      <w:tr>
        <w:tc>
          <w:tcPr>
            <w:tcW w:type="dxa" w:w="8016"/>
          </w:tcPr>
          <w:p>
            <w:r>
              <w:t>Audit Baseline</w:t>
            </w:r>
          </w:p>
        </w:tc>
        <w:tc>
          <w:tcPr>
            <w:tcW w:type="dxa" w:w="8016"/>
          </w:tcPr>
          <w:p>
            <w:r>
              <w:t>REFERENCE → AIAPI-01-AUD-DESIGN-001</w:t>
            </w:r>
          </w:p>
        </w:tc>
      </w:tr>
      <w:tr>
        <w:tc>
          <w:tcPr>
            <w:tcW w:type="dxa" w:w="8016"/>
          </w:tcPr>
          <w:p>
            <w:r>
              <w:t>Acceptance Matrix</w:t>
            </w:r>
          </w:p>
        </w:tc>
        <w:tc>
          <w:tcPr>
            <w:tcW w:type="dxa" w:w="8016"/>
          </w:tcPr>
          <w:p>
            <w:r>
              <w:t>Current page acceptance section plus this annex; REQUIRED / OPTIONAL / NOT_APPLICABLE classification is preserved.</w:t>
            </w:r>
          </w:p>
        </w:tc>
      </w:tr>
      <w:tr>
        <w:tc>
          <w:tcPr>
            <w:tcW w:type="dxa" w:w="8016"/>
          </w:tcPr>
          <w:p>
            <w:r>
              <w:t>Definition of Done</w:t>
            </w:r>
          </w:p>
        </w:tc>
        <w:tc>
          <w:tcPr>
            <w:tcW w:type="dxa" w:w="8016"/>
          </w:tcPr>
          <w:p>
            <w:r>
              <w:t>Planning/basic-design DoD is the current page DoD plus zero unresolved REQUIRED design-spec gaps.</w:t>
            </w:r>
          </w:p>
        </w:tc>
      </w:tr>
      <w:tr>
        <w:tc>
          <w:tcPr>
            <w:tcW w:type="dxa" w:w="8016"/>
          </w:tcPr>
          <w:p>
            <w:r>
              <w:t>Design Version</w:t>
            </w:r>
          </w:p>
        </w:tc>
        <w:tc>
          <w:tcPr>
            <w:tcW w:type="dxa" w:w="8016"/>
          </w:tcPr>
          <w:p>
            <w:r>
              <w:t>Use this Word's current version metadata / exact repository revision; this annex MUST NOT invent a parallel design version.</w:t>
            </w:r>
          </w:p>
        </w:tc>
      </w:tr>
      <w:tr>
        <w:tc>
          <w:tcPr>
            <w:tcW w:type="dxa" w:w="8016"/>
          </w:tcPr>
          <w:p>
            <w:r>
              <w:t>Freeze Status</w:t>
            </w:r>
          </w:p>
        </w:tc>
        <w:tc>
          <w:tcPr>
            <w:tcW w:type="dxa" w:w="8016"/>
          </w:tcPr>
          <w:p>
            <w: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6838" w:h="11906" w:orient="landscape"/>
      <w:pgMar w:top="475" w:right="403" w:bottom="475" w:left="403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AIAPI-01 AI API 管理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ORANGE ONE  ·  AIAPI-01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D34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840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SOC-01 社群發布 Mother Basic Design Optimized</dc:title>
  <dc:subject>ACPOS Social Publishing Basic Design</dc:subject>
  <dc:creator>ORANGE ONE</dc:creator>
  <cp:keywords>SOC-01, Social Publishing, ACPOS, Basic Design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