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AUTHORITY_GAP is explicit and fail-closed. Runtime owner IAM_RUNTIME is preserved; the control MUST remain disabled until an authorized STR draft persistence owner is materialized.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DESIGN_BOUND_TO_EXISTING_SHARED_EXPORT_OWNER — exact exportProjection/ExportProjectionRequest evidence resolves to the shared INFO export persistence owner;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AUTHORITY_GAP is explicit and fail-closed. createCandidate remains disabled until the authorized Strategy candidate runtime+persistence owner is materialized.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READ_EXACT design contract is source-backed by STR-01 compareCandidates. Persistence is NOT_APPLICABLE because the operation is a no-form read;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AUTHORITY_GAP is explicit and fail-closed. rejectStrategyCandidate remains disabled until authorized runtime/state persistence ownership is materialized.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DESIGN_BOUND_TO_EXISTING_SHARED_CONTEXT_OWNER — source-backed adoptAsContextCandidate binding preserves AI-01 Context authority and System 08 audit linkage;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AUTHORITY_GAP_BLOCKED — exact STR draft persistence owner is not defined by current Word authority; MUST_NOT reuse IAM Authorization Draft persistence by operation-name similarity.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AUTHORITY_GAP_BLOCKED — Strategy candidate owner is named at planning layer, but exact runtime binding is not uniquely defined by current Word authority.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AUTHORITY_GAP_BLOCKED — exact Strategy candidate persistence owner is not defined; MUST_NOT infer from DEV/SYS createCandidate domains.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AUTHORITY_GAP_BLOCKED — Strategy candidate owner is named at planning layer, but exact reject runtime binding is not defined by current Word authority.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AUTHORITY_GAP_BLOCKED — exact Strategy candidate decision/state persistence owner is not defined; MUST_NOT infer from another candidate domain.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INTENTIONAL_FAIL_CLOSED_AUTHORITY_GAP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{"design_bound":["exportProjection","compareCandidates","adoptAsContextCandidate"],"authority_gap_fail_closed":["saveDraft","createCandidate","rejectStrategyCandidate"]}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exportProjection, compareCandidates and adoptAsContextCandidate now have source-backed design bindings. saveDraft, createCandidate and rejectStrategyCandidate are explicit AUTHORITY_GAP fail-closed dispositions and MUST remain disabled until authorized owner materialization. This Word does not claim runtime execution or Production readiness.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 draft persistence owner is not defined by current Word authority; MUST_NOT reuse IAM Authorization Draft persistence by operation-name similarity.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Runtime owner IAM_RUNTIME is preserved; the control MUST remain disabled until an authorized STR draft persistence owner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Strategy candidate owner is named at planning layer, but exact runtime binding is not uniquely defined by current Word authority.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Strategy candidate persistence owner is not defined; MUST_NOT infer from DEV/SYS createCandidate domains.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createCandidate remains disabled until the authorized Strategy candidate runtime+persistence owner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Strategy candidate owner is named at planning layer, but exact reject runtime binding is not defined by current Word authority.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AUTHORITY_GAP_BLOCKED — exact Strategy candidate decision/state persistence owner is not defined; MUST_NOT infer from another candidate domain.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AUTHORITY_GAP is explicit and fail-closed. rejectStrategyCandidate remains disabled until authorized runtime/state persistence ownership is materialized.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INTENTIONAL_FAIL_CLOSED_AUTHORITY_GAP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[ACPOS-DESIGN-CLOSURE:ADMIN-STR-01:FREEZE]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ACPOS_admin_STR-01_戰略中心後台_Mother_Basic_Design_OPTIMIZED.docx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p>
      <w:pPr>
        <w:pStyle w:val="Heading2"/>
      </w:pPr>
      <w:r>
        <w:t>Control State / Specification Closure｜控制項規格補齊</w:t>
      </w:r>
    </w:p>
    <w:p>
      <w:r>
        <w:t>[ACPOS-DESIGN-CLOSURE:ADMIN-STR-01:CONTROL]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Scope</w:t>
            </w:r>
          </w:p>
        </w:tc>
        <w:tc>
          <w:tcPr>
            <w:tcW w:type="dxa" w:w="5616"/>
          </w:tcPr>
          <w:p>
            <w:r>
              <w:t>This invariant applies to every existing ADMIN-STR-01 Control UID; it does not create new controls.</w:t>
            </w:r>
          </w:p>
        </w:tc>
      </w:tr>
      <w:tr>
        <w:tc>
          <w:tcPr>
            <w:tcW w:type="dxa" w:w="5616"/>
          </w:tcPr>
          <w:p>
            <w:r>
              <w:t>Canonical Name / Type / Label</w:t>
            </w:r>
          </w:p>
        </w:tc>
        <w:tc>
          <w:tcPr>
            <w:tcW w:type="dxa" w:w="5616"/>
          </w:tcPr>
          <w:p>
            <w:r>
              <w:t>Use each current control row's exact identity/type/label. Label copy must resolve through the current localization owner; no second label authority.</w:t>
            </w:r>
          </w:p>
        </w:tc>
      </w:tr>
      <w:tr>
        <w:tc>
          <w:tcPr>
            <w:tcW w:type="dxa" w:w="5616"/>
          </w:tcPr>
          <w:p>
            <w:r>
              <w:t>Icon Reference</w:t>
            </w:r>
          </w:p>
        </w:tc>
        <w:tc>
          <w:tcPr>
            <w:tcW w:type="dxa" w:w="5616"/>
          </w:tcPr>
          <w:p>
            <w:r>
              <w:t>Use current registered/shared icon reference; when no icon is required, NOT_APPLICABLE with the existing visual design as evidence.</w:t>
            </w:r>
          </w:p>
        </w:tc>
      </w:tr>
      <w:tr>
        <w:tc>
          <w:tcPr>
            <w:tcW w:type="dxa" w:w="5616"/>
          </w:tcPr>
          <w:p>
            <w:r>
              <w:t>Position / Dimensions</w:t>
            </w:r>
          </w:p>
        </w:tc>
        <w:tc>
          <w:tcPr>
            <w:tcW w:type="dxa" w:w="5616"/>
          </w:tcPr>
          <w:p>
            <w:r>
              <w:t>Use the current Section/Layout/Geometry mapping and existing control dimensions. Control state changes may not alter footprint unexpectedly.</w:t>
            </w:r>
          </w:p>
        </w:tc>
      </w:tr>
      <w:tr>
        <w:tc>
          <w:tcPr>
            <w:tcW w:type="dxa" w:w="5616"/>
          </w:tcPr>
          <w:p>
            <w:r>
              <w:t>Default / Hover / Focus / Active</w:t>
            </w:r>
          </w:p>
        </w:tc>
        <w:tc>
          <w:tcPr>
            <w:tcW w:type="dxa" w:w="5616"/>
          </w:tcPr>
          <w:p>
            <w:r>
              <w:t>Default preserves baseline; Hover reveals affordance only; Focus is keyboard-visible; Active indicates the current selected/invoked state without semantic mutation.</w:t>
            </w:r>
          </w:p>
        </w:tc>
      </w:tr>
      <w:tr>
        <w:tc>
          <w:tcPr>
            <w:tcW w:type="dxa" w:w="5616"/>
          </w:tcPr>
          <w:p>
            <w:r>
              <w:t>Loading</w:t>
            </w:r>
          </w:p>
        </w:tc>
        <w:tc>
          <w:tcPr>
            <w:tcW w:type="dxa" w:w="5616"/>
          </w:tcPr>
          <w:p>
            <w:r>
              <w:t>For an invoked async/effectful action, loading state prevents duplicate activation while preserving current context and label/status readability.</w:t>
            </w:r>
          </w:p>
        </w:tc>
      </w:tr>
      <w:tr>
        <w:tc>
          <w:tcPr>
            <w:tcW w:type="dxa" w:w="5616"/>
          </w:tcPr>
          <w:p>
            <w:r>
              <w:t>Disabled</w:t>
            </w:r>
          </w:p>
        </w:tc>
        <w:tc>
          <w:tcPr>
            <w:tcW w:type="dxa" w:w="5616"/>
          </w:tcPr>
          <w:p>
            <w:r>
              <w:t>Disabled is explicit and must expose the blocking reason/permission/gate when relevant; disabled state is not a hidden action.</w:t>
            </w:r>
          </w:p>
        </w:tc>
      </w:tr>
      <w:tr>
        <w:tc>
          <w:tcPr>
            <w:tcW w:type="dxa" w:w="5616"/>
          </w:tcPr>
          <w:p>
            <w:r>
              <w:t>Success</w:t>
            </w:r>
          </w:p>
        </w:tc>
        <w:tc>
          <w:tcPr>
            <w:tcW w:type="dxa" w:w="5616"/>
          </w:tcPr>
          <w:p>
            <w:r>
              <w:t>Success state is shown only after the current design's confirmed success outcome; it does not invent runtime completion.</w:t>
            </w:r>
          </w:p>
        </w:tc>
      </w:tr>
      <w:tr>
        <w:tc>
          <w:tcPr>
            <w:tcW w:type="dxa" w:w="5616"/>
          </w:tcPr>
          <w:p>
            <w:r>
              <w:t>Error</w:t>
            </w:r>
          </w:p>
        </w:tc>
        <w:tc>
          <w:tcPr>
            <w:tcW w:type="dxa" w:w="5616"/>
          </w:tcPr>
          <w:p>
            <w:r>
              <w:t>Error state preserves recoverable context, displays actionable failure information and follows current retry/recovery design.</w:t>
            </w:r>
          </w:p>
        </w:tc>
      </w:tr>
      <w:tr>
        <w:tc>
          <w:tcPr>
            <w:tcW w:type="dxa" w:w="5616"/>
          </w:tcPr>
          <w:p>
            <w:r>
              <w:t>Visibility / Permission / Action Reference</w:t>
            </w:r>
          </w:p>
        </w:tc>
        <w:tc>
          <w:tcPr>
            <w:tcW w:type="dxa" w:w="5616"/>
          </w:tcPr>
          <w:p>
            <w:r>
              <w:t>Use each current control's existing Visibility Condition + Permission Reference + Action Reference; missing exact authority remains fail closed.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