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INFO-01-OBJ-INFERENCE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non-FACT classification + supporting fact/evidence refs + scope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Export Artifact + Export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ACPOSStateProjection + Projection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SemanticIndexResult + Search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41 · INFO-01 Projection Persistence Binding Ledger</w:t>
      </w:r>
    </w:p>
    <w:p>
      <w:r>
        <w:rPr>
          <w:b/>
        </w:rPr>
        <w:t xml:space="preserve">[ACPOS-20260922-BATCH-41-SYSTEM01-INFO-PERSISTENCE-REMEDIATION-V1::PAGE::INFO-01] </w:t>
      </w:r>
      <w:r>
        <w:t>Projection/search/export persistence is derived/audit state only. Domain canonical business rows remain under their original owners. No physical table names are invented and no exported/search result is promoted to canonical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INFO-01-BTN-REFRESH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ACPOSStateProjection + Projection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 rematerializes a derived projection for an exact domain version. It must not create a second canonical domain row; projection state/version and audit lineage remain reconstructable.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INFO-01-BTN-SEARCH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 persists only search/index result pointers, scope and audit/evidence needed to dereference exact source/version/evidence. Search score/result is not canonical truth.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INFO-01-BTN-EXPORT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Export Artifact + Export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export artifact and audit lineage for the exact projection/scope. Export output does not become a second canonical owner for domain data.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