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Approval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Sandbox Evidence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Operational Control State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13 · Action UID Applicability Ledger</w:t>
      </w:r>
    </w:p>
    <w:p>
      <w:r>
        <w:rPr>
          <w:b/>
        </w:rPr>
        <w:t xml:space="preserve">[ACPOS-20260921-BATCH-13-EXPLICIT-NA-ACTION-SEMANTICS-V1::PAGE::AIAPI-01] </w:t>
      </w:r>
      <w:r>
        <w:t>This ledger records applicability only. Product Control Registry rows remain unchanged; Action UID stays '—'. These rows MUST NOT be parsed as additional product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 Class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Required 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38 · AIAPI Persistence Binding Ledger</w:t>
      </w:r>
    </w:p>
    <w:p>
      <w:r>
        <w:rPr>
          <w:b/>
        </w:rPr>
        <w:t xml:space="preserve">[ACPOS-20260922-BATCH-38-SYSTEM03-PERSISTENCE-REMEDIATION-V1::PAGE::AIAPI-01]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T5R11[—]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T5R11[High-risk]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T5R11[Governed]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T5R3[Set/Delete]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T5R4[Disable]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T5R4[—]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T5R4[Configure]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T5R12[Profile-only]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T5R5[Create]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T5R5[Bounded]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T5R2[Retire]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T5R9[Confirm]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T5R9[Restore]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T5R8[Execute]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T5R7[Run]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[ACPOS-DESIGN-CLOSURE:AIAPI-01:DESIGN-SYSTEM]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[ACPOS-DESIGN-CLOSURE:AIAPI-01:GEOMETRY]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[ACPOS-DESIGN-CLOSURE:AIAPI-01:VISUAL]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AIAPI-01-VA-HEADER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AIAPI-01-VA-SIDEBAR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AIAPI-01-VA-WORKSPACE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[ACPOS-DESIGN-CLOSURE:AIAPI-01:VISUAL-CONTRACT]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