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100"/>
        <w:ind w:left="102" w:right="102"/>
        <w:shd w:fill="0B1027"/>
      </w:pPr>
      <w:r>
        <w:rPr>
          <w:rFonts w:ascii="Noto Sans CJK TC" w:hAnsi="Noto Sans CJK TC" w:eastAsia="Noto Sans CJK TC"/>
          <w:b/>
          <w:color w:val="FFFFFF"/>
          <w:sz w:val="42"/>
        </w:rPr>
        <w:t>DEV-01 企業自動開發系統</w:t>
        <w:br/>
      </w:r>
      <w:r>
        <w:rPr>
          <w:rFonts w:ascii="Noto Sans CJK TC" w:hAnsi="Noto Sans CJK TC" w:eastAsia="Noto Sans CJK TC"/>
          <w:b w:val="0"/>
          <w:color w:val="BFC7E6"/>
          <w:sz w:val="20"/>
        </w:rPr>
        <w:t>Mother Basic Design · Functional Completion · Broad Discovery · Enterprise Outreach Governance</w:t>
        <w:br/>
      </w:r>
      <w:r>
        <w:rPr>
          <w:rFonts w:ascii="Noto Sans CJK TC" w:hAnsi="Noto Sans CJK TC" w:eastAsia="Noto Sans CJK TC"/>
          <w:b/>
          <w:color w:val="B38CFF"/>
          <w:sz w:val="18"/>
        </w:rPr>
        <w:t>ORANGE ONE · admin:DEV-01</w:t>
      </w:r>
    </w:p>
    <w:p>
      <w:pPr>
        <w:keepNext w:val="0"/>
        <w:spacing w:after="120" w:line="276" w:lineRule="auto"/>
      </w:pPr>
      <w:r>
        <w:rPr>
          <w:rFonts w:ascii="Noto Sans CJK TC" w:hAnsi="Noto Sans CJK TC" w:eastAsia="Noto Sans CJK TC"/>
          <w:b/>
          <w:color w:val="18203A"/>
          <w:sz w:val="19"/>
        </w:rPr>
        <w:t>本版沿用 DEV-01 現有單頁五階段企業開發架構，補齊母規範要求的需求、Entity × Operation、Broad Discovery、Signal / Opportunity、Contact Evidence、功能鏈、跨頁來源治理、權限／狀態／錯誤、Geometry、A11y、Acceptance 與施工映射。</w:t>
      </w: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核心優化：使用者先定義「要找什麼企業商機」，由受治理的 Shared Acquisition 在允許範圍內發現來源與企業訊號；再沿用既有 Company → Candidate → Campaign → Individual Delivery 閉環，不建立第二套 CRM、Company DB、Campaign Engine、Delivery Engine 或 Source Registry。</w:t>
      </w: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1" name="Picture 1" descr="DEV-01 商機持續搜集與企業開發主工作區預覽" title="DEV-01 商機持續搜集與企業開發主工作區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1｜DEV-01 優化後主工作區：商機持續搜集、Signal / Company 結果與治理 Rail。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1. Page Identity / 頁面定位與產品目標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項目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設計規格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Page UID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admin:DEV-01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頁面名稱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企業自動開發系統 / Enterprise Automation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Route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/admin/dev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Surface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Purpose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Primary User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具備企業開發、名單治理、Campaign 或 Delivery 權限的內部使用者。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Authorization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Account Permission Assignment + enterprise_development backend L1 + exact action permission。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Interaction Model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5-stage same-page workflow；Stage 切換僅改 UI context，不切換成五個獨立頁。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Implementation Truth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文件定義產品與施工規格；Runtime、E2E、Deployment 仍需施工證據。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2. Scope / 需求、角色、Out-of-Scope 與非功能要求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44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類別</w:t>
            </w:r>
          </w:p>
        </w:tc>
        <w:tc>
          <w:tcPr>
            <w:tcW w:type="dxa" w:w="74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內容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Business Goal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Functional Requirements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Non-functional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權限 Fail-Closed、Exact Version、Idempotency、Audit、Rate/Policy、No Fake Data、1280+ desktop-first、A11y、i18n。</w:t>
            </w:r>
          </w:p>
        </w:tc>
      </w:tr>
      <w:tr>
        <w:trPr>
          <w:cantSplit/>
        </w:trPr>
        <w:tc>
          <w:tcPr>
            <w:tcW w:type="dxa" w:w="244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Out-of-Scope</w:t>
            </w:r>
          </w:p>
        </w:tc>
        <w:tc>
          <w:tcPr>
            <w:tcW w:type="dxa" w:w="74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rPr>
          <w:cantSplit/>
        </w:trPr>
        <w:tc>
          <w:tcPr>
            <w:tcW w:type="dxa" w:w="244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No Duplicate Rule</w:t>
            </w:r>
          </w:p>
        </w:tc>
        <w:tc>
          <w:tcPr>
            <w:tcW w:type="dxa" w:w="74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3. Business Entity × Operation / 產品實體與操作矩陣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69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2419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Purpose</w:t>
            </w:r>
          </w:p>
        </w:tc>
        <w:tc>
          <w:tcPr>
            <w:tcW w:type="dxa" w:w="309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Operations</w:t>
            </w:r>
          </w:p>
        </w:tc>
        <w:tc>
          <w:tcPr>
            <w:tcW w:type="dxa" w:w="26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Owner / Boundary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Profile / Topic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描述要找的商機條件與來源範圍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domain；不得複製 KB Source Registry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Job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單次/持續執行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/ Pause / Resume / Stop / Refresh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OutreachDiscoveryService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Market Signal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搜尋結果中的可審查商機訊號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Qualify / Ignore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workflow object；必須保留 Evidence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企業主檔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/ Identity Resolve / Merge Preview / Merge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OutreachDirectoryService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Contact Point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Email / Phone / Address，多值並保留來源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View / Add-or-Update / Verify / Disable as secondary action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owner；不得覆蓋不同來源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Opportunity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上的企業商機狀態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State transition / Next action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掛在現有 Company，不建立第二 CRM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一對一開發內容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Review / Decide / Change Request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OutreachMessageService；Candidate 不得直接發送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Audience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受眾批次、審查、統計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 Audience / Create / Preview / Approve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OutreachBatchService</w:t>
            </w:r>
          </w:p>
        </w:tc>
      </w:tr>
      <w:tr>
        <w:trPr>
          <w:cantSplit/>
        </w:trPr>
        <w:tc>
          <w:tcPr>
            <w:tcW w:type="dxa" w:w="169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2419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每位收件者一筆實際外寄</w:t>
            </w:r>
          </w:p>
        </w:tc>
        <w:tc>
          <w:tcPr>
            <w:tcW w:type="dxa" w:w="309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 / Refresh / Stop</w:t>
            </w:r>
          </w:p>
        </w:tc>
        <w:tc>
          <w:tcPr>
            <w:tcW w:type="dxa" w:w="26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OutreachDeliveryService；To=1, CC/BCC=0</w:t>
            </w:r>
          </w:p>
        </w:tc>
      </w:tr>
      <w:tr>
        <w:trPr>
          <w:cantSplit/>
        </w:trPr>
        <w:tc>
          <w:tcPr>
            <w:tcW w:type="dxa" w:w="169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Suppression / Evidence / Audit</w:t>
            </w:r>
          </w:p>
        </w:tc>
        <w:tc>
          <w:tcPr>
            <w:tcW w:type="dxa" w:w="2419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跨 Stage 強制治理</w:t>
            </w:r>
          </w:p>
        </w:tc>
        <w:tc>
          <w:tcPr>
            <w:tcW w:type="dxa" w:w="309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Check / View / Enforce</w:t>
            </w:r>
          </w:p>
        </w:tc>
        <w:tc>
          <w:tcPr>
            <w:tcW w:type="dxa" w:w="26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共享治理 owner；不可 page-local 複製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4. Entity Hierarchy / 資料與生命週期關係</w:t>
      </w:r>
    </w:p>
    <w:p>
      <w:pPr>
        <w:keepLines/>
        <w:spacing w:before="60" w:after="120"/>
        <w:shd w:fill="EAF8F1"/>
        <w:pBdr>
          <w:left w:val="single" w:sz="18" w:space="8" w:color="50D890"/>
        </w:pBdr>
      </w:pPr>
      <w:r>
        <w:rPr>
          <w:rFonts w:ascii="Noto Sans CJK TC" w:hAnsi="Noto Sans CJK TC" w:eastAsia="Noto Sans CJK TC"/>
          <w:b w:val="0"/>
          <w:color w:val="18203A"/>
          <w:sz w:val="17"/>
        </w:rPr>
        <w:t>Discovery Profile → Discovery Job → Market Signal → Company → Contact / Opportunity → Message Candidate → Campaign → Campaign Recipient → Individual Delivery。Evidence、Suppression、Permission、Audit 與 Version/Correlation 為跨鏈治理層。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關係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規則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Signal → Company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企業名稱不可單獨作身份；需登記號/司法轄區或其他正式 identity evidence。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Contact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一對多；新來源不得覆寫不同 contact；每筆 contact 保留 source evidence / verification。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Company → Opportunity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商機掛在既有 Company 上；不建立第二 Company/Lead master。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Candidate → Campaign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只能綁 exact approved Candidate / version；Candidate Review 與 Dispatch 分離。</w:t>
            </w:r>
          </w:p>
        </w:tc>
      </w:tr>
      <w:tr>
        <w:trPr>
          <w:cantSplit/>
        </w:trPr>
        <w:tc>
          <w:tcPr>
            <w:tcW w:type="dxa" w:w="25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→ Delivery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Campaign 可有多個 recipient records；外寄時逐 recipient 建 Individual Delivery。</w:t>
            </w:r>
          </w:p>
        </w:tc>
      </w:tr>
      <w:tr>
        <w:trPr>
          <w:cantSplit/>
        </w:trPr>
        <w:tc>
          <w:tcPr>
            <w:tcW w:type="dxa" w:w="25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Suppression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5"/>
              </w:rPr>
              <w:t>拒絕、退訂、Do Not Contact、Complaint 等在 Campaign/Delivery Gate 前阻擋。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5. Five-Stage Functional Workbench / 五階段產品流程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98"/>
        <w:gridCol w:w="2098"/>
        <w:gridCol w:w="2098"/>
        <w:gridCol w:w="2098"/>
        <w:gridCol w:w="2098"/>
      </w:tblGrid>
      <w:tr>
        <w:trPr>
          <w:tblHeader w:val="true"/>
          <w:cantSplit/>
        </w:trPr>
        <w:tc>
          <w:tcPr>
            <w:tcW w:type="dxa" w:w="79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Stage</w:t>
            </w:r>
          </w:p>
        </w:tc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Display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Purpose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Primary CTA</w:t>
            </w:r>
          </w:p>
        </w:tc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Secondary / Conditional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01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商機持續搜集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開始商機搜集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主題設定、管理來源、Pause / Resume / Stop、Qualify / Ignore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02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企業資料庫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Preview / Confirm、Contact Update、Opportunity State、Export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03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開發信內容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/ 要求修改；無 Send 按鈕</w:t>
            </w:r>
          </w:p>
        </w:tc>
      </w:tr>
      <w:tr>
        <w:trPr>
          <w:cantSplit/>
        </w:trPr>
        <w:tc>
          <w:tcPr>
            <w:tcW w:type="dxa" w:w="79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04</w:t>
            </w:r>
          </w:p>
        </w:tc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/ 受眾批次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搜尋受眾、核准 Campaign</w:t>
            </w:r>
          </w:p>
        </w:tc>
      </w:tr>
      <w:tr>
        <w:trPr>
          <w:cantSplit/>
        </w:trPr>
        <w:tc>
          <w:tcPr>
            <w:tcW w:type="dxa" w:w="79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05</w:t>
            </w:r>
          </w:p>
        </w:tc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一對一發送控制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Refresh、Kill Switch（僅合法狀態）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顯示優化：Stage 01 以「商機持續搜集」呈現產品目的，但底層 discovery stage / owner 不需要重建。每個 Stage 同一情境最多 1 個 Primary CTA。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6. Functional Admission / 功能加入、降級與移除規則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類別</w:t>
            </w:r>
          </w:p>
        </w:tc>
        <w:tc>
          <w:tcPr>
            <w:tcW w:type="dxa" w:w="367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Admission Rule</w:t>
            </w:r>
          </w:p>
        </w:tc>
        <w:tc>
          <w:tcPr>
            <w:tcW w:type="dxa" w:w="43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DEV-01 實例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Persistent Primary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高頻、直接推進主流程、Gate 清楚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開始商機搜集、建立 Candidate、建立 Campaign、Dispatch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Conditional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只在特定 state / permission 出現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Pause/Resume/Stop、Merge Confirm、Campaign Approve、Kill Switch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Row / Field Action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跟隨選取實體，不佔全頁 CTA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Qualify/Ignore、Contact 更新、Opportunity 狀態</w:t>
            </w:r>
          </w:p>
        </w:tc>
      </w:tr>
      <w:tr>
        <w:trPr>
          <w:cantSplit/>
        </w:trPr>
        <w:tc>
          <w:tcPr>
            <w:tcW w:type="dxa" w:w="15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Drawer / Secondary</w:t>
            </w:r>
          </w:p>
        </w:tc>
        <w:tc>
          <w:tcPr>
            <w:tcW w:type="dxa" w:w="367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低頻 detail / evidence / history / connector / suppression</w:t>
            </w:r>
          </w:p>
        </w:tc>
        <w:tc>
          <w:tcPr>
            <w:tcW w:type="dxa" w:w="43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Evidence、Version History、Delivery History、Audit</w:t>
            </w:r>
          </w:p>
        </w:tc>
      </w:tr>
      <w:tr>
        <w:trPr>
          <w:cantSplit/>
        </w:trPr>
        <w:tc>
          <w:tcPr>
            <w:tcW w:type="dxa" w:w="15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Forbidden</w:t>
            </w:r>
          </w:p>
        </w:tc>
        <w:tc>
          <w:tcPr>
            <w:tcW w:type="dxa" w:w="367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重複 owner、繞過治理、只為好看</w:t>
            </w:r>
          </w:p>
        </w:tc>
        <w:tc>
          <w:tcPr>
            <w:tcW w:type="dxa" w:w="43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第二 CRM、第二 Source Registry、Fake KPI、CC/BCC 群發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7. Layout / Interaction Topology / 視覺與互動拓撲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Region</w:t>
            </w:r>
          </w:p>
        </w:tc>
        <w:tc>
          <w:tcPr>
            <w:tcW w:type="dxa" w:w="2015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Geometry</w:t>
            </w:r>
          </w:p>
        </w:tc>
        <w:tc>
          <w:tcPr>
            <w:tcW w:type="dxa" w:w="57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Bar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56px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title / current stage / authorized scope / real run-review-blocker status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Workflow Stage Bar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100% × 52px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 compact segmented stages；UI context only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Workspace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72%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只渲染 active stage 主要表單、table、review/workflow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28%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 / Policy / Suppression / Connector / Blocker / Approval status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480–560px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History / Audit / Version / Connector / Delivery detail</w:t>
            </w:r>
          </w:p>
        </w:tc>
      </w:tr>
      <w:tr>
        <w:trPr>
          <w:cantSplit/>
        </w:trPr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Action Dock</w:t>
            </w:r>
          </w:p>
        </w:tc>
        <w:tc>
          <w:tcPr>
            <w:tcW w:type="dxa" w:w="2015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56px</w:t>
            </w:r>
          </w:p>
        </w:tc>
        <w:tc>
          <w:tcPr>
            <w:tcW w:type="dxa" w:w="57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只顯示當下合法 actions；同時最多一個 Primary CTA</w:t>
            </w:r>
          </w:p>
        </w:tc>
      </w:tr>
      <w:tr>
        <w:trPr>
          <w:cantSplit/>
        </w:trPr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Below 1280</w:t>
            </w:r>
          </w:p>
        </w:tc>
        <w:tc>
          <w:tcPr>
            <w:tcW w:type="dxa" w:w="2015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min-width=1280 + horizontal scroll</w:t>
            </w:r>
          </w:p>
        </w:tc>
        <w:tc>
          <w:tcPr>
            <w:tcW w:type="dxa" w:w="57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不建立另一套 mobile workflow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840480"/>
            <wp:docPr id="2" name="Picture 2" descr="DEV-01 Stage 01 與企業資料工作區設計預覽" title="DEV-01 Stage 01 與企業資料工作區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OPTIMIZED_DISCOVERY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2｜DEV-01 Stage 01 / 02 操作結構：Profile、Signal 結果、Company/Opportunity 與治理狀態。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8. Section / Component Registry / 頁面結構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 UID</w:t>
            </w:r>
          </w:p>
        </w:tc>
        <w:tc>
          <w:tcPr>
            <w:tcW w:type="dxa" w:w="35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273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Key Components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DEV-01-SEC-01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Context / Status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Context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DEV-01-SEC-02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Five-Stage Navigator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Stage Nav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DEV-01-SEC-03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Workspace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Setup / Runtime / Actions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DEV-01-SEC-04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Directory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Merge / Contact / Opportunity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DEV-01-SEC-05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/ Review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DEV-01-SEC-06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Audience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/ Recipient Preview / Review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DEV-01-SEC-07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Individual Delivery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CORE_REQUIRED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/ Kill Switch</w:t>
            </w:r>
          </w:p>
        </w:tc>
      </w:tr>
      <w:tr>
        <w:trPr>
          <w:cantSplit/>
        </w:trPr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DEV-01-SEC-08</w:t>
            </w:r>
          </w:p>
        </w:tc>
        <w:tc>
          <w:tcPr>
            <w:tcW w:type="dxa" w:w="35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Governance Rail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PRIMARY_SUPPORT</w:t>
            </w:r>
          </w:p>
        </w:tc>
        <w:tc>
          <w:tcPr>
            <w:tcW w:type="dxa" w:w="273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Policy / Suppression / Health / Blocker</w:t>
            </w:r>
          </w:p>
        </w:tc>
      </w:tr>
      <w:tr>
        <w:trPr>
          <w:cantSplit/>
        </w:trPr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DEV-01-SEC-09</w:t>
            </w:r>
          </w:p>
        </w:tc>
        <w:tc>
          <w:tcPr>
            <w:tcW w:type="dxa" w:w="35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Detail Drawer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</w:t>
            </w:r>
          </w:p>
        </w:tc>
        <w:tc>
          <w:tcPr>
            <w:tcW w:type="dxa" w:w="273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Evidence / Audit / Version / Error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 Control / Action Registry / 現行控制與必要補強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80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 / Group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Label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DEV-01-BTN-STAGE-1..5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5 segmented stage buttons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UI context only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Page gate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DEV-01-BTN-DISCOVERY-START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開始搜集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 Start gate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DEV-01-BTN-DISCOVERY-PAUSE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暫停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DEV-01-BTN-DISCOVERY-RESUME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繼續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resumeCompanyDiscovery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DEV-01-BTN-DISCOVERY-STOP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stopCompanyDiscovery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RUNNING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DEV-01-BTN-DIRECTORY-SEARCH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搜尋企業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Read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DEV-01-BTN-MERGE-PREVIEW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預覽合併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DEV-01-BTN-MERGE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確認合併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Confirm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DEV-01-BTN-EXPORT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匯出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Export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Candidate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createCandidate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Write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DEV-01-BTN-CANDIDATE-DECIDE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審查 Candidate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decideCandidate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DEV-01-BTN-CR-CREATE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要求修改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createChangeRequest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Review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DEV-01-BTN-CAMPAIGN-SEARCH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搜尋受眾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DEV-01-BTN-CAMPAIGN-CREATE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建立 Campaign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DEV-01-BTN-CAMPAIGN-APPROVE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核准 Campaign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approveOutreachCampaign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 Approval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DEV-01-BTN-EMAIL-DISPATCH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開始一對一發送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</w:t>
            </w:r>
          </w:p>
        </w:tc>
      </w:tr>
      <w:tr>
        <w:trPr>
          <w:cantSplit/>
        </w:trPr>
        <w:tc>
          <w:tcPr>
            <w:tcW w:type="dxa" w:w="280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DEV-01-BTN-REFRESH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重新整理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 Read</w:t>
            </w:r>
          </w:p>
        </w:tc>
      </w:tr>
      <w:tr>
        <w:trPr>
          <w:cantSplit/>
        </w:trPr>
        <w:tc>
          <w:tcPr>
            <w:tcW w:type="dxa" w:w="280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DEV-01-BTN-KILL-SWITCH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停止發送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9.1 Optimization Additions / 補齊但不膨脹頁面的互動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22"/>
        <w:gridCol w:w="2622"/>
        <w:gridCol w:w="2622"/>
        <w:gridCol w:w="2622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Control</w:t>
            </w:r>
          </w:p>
        </w:tc>
        <w:tc>
          <w:tcPr>
            <w:tcW w:type="dxa" w:w="18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UI Form</w:t>
            </w:r>
          </w:p>
        </w:tc>
        <w:tc>
          <w:tcPr>
            <w:tcW w:type="dxa" w:w="345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 / Effect</w:t>
            </w:r>
          </w:p>
        </w:tc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Placement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DEV-01-BTN-PROFILE-SAVE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Save / Update Discovery Profile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 Profile header /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DEV-01-BTN-SOURCE-MANAGE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Secondary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Navigate to governed KB Source management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01; no duplicated source editor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DEV-01-BTN-SIGNAL-QUALIFY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QUALIFY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DEV-01-BTN-SIGNAL-IGNORE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Action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Decide Signal = IGNORE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row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DEV-01-BTN-CONTACT-UPSERT</w:t>
            </w:r>
          </w:p>
        </w:tc>
        <w:tc>
          <w:tcPr>
            <w:tcW w:type="dxa" w:w="18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Row / Drawer Action</w:t>
            </w:r>
          </w:p>
        </w:tc>
        <w:tc>
          <w:tcPr>
            <w:tcW w:type="dxa" w:w="345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Add or update verified Company Contact</w:t>
            </w:r>
          </w:p>
        </w:tc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detail drawer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DEV-01-CTL-OPPORTUNITY-STATE</w:t>
            </w:r>
          </w:p>
        </w:tc>
        <w:tc>
          <w:tcPr>
            <w:tcW w:type="dxa" w:w="18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Select / Row</w:t>
            </w:r>
          </w:p>
        </w:tc>
        <w:tc>
          <w:tcPr>
            <w:tcW w:type="dxa" w:w="345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Legal Opportunity transition</w:t>
            </w:r>
          </w:p>
        </w:tc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Stage 02 company/opportunity detail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補強控制不等於全部做成常駐按鈕。Evidence、Contact Disable、Won/Lost、Suppression detail、Rescore、每列 Campaign 加入/移除等低頻操作必須收斂到 Row / Drawer / More。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10. Stage 01 / Broad Discovery &amp; Source Governance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Design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 / Topic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Source Management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頁面只選取、顯示 Health 與 policy；完整 Source CRUD / Rights / Classification / Connector 設定回到 KB / shared owner。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Table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Company/Signal、Intent、Evidence、Freshness、Company Match、Opportunity、Action；完整 rationale/evidence 進 Drawer。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Decision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QUALIFY → 可進 Company / Opportunity；IGNORE → 保留 evidence/audit，不刪除來源真實資料。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Runtime Rule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11. Stage 02 / Company, Contact Evidence &amp; Opportunity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/ Rule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Identity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優先使用 registration/jurisdiction identity；name-only 不得自動 merge。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Contact Point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Email / Phone / Address 允許一對多；每筆保留 source evidence、verification、status。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先 Preview；確認後非破壞式合併，保留 alias / lineage / evidence。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商機掛在 Company；狀態以受治理 transition 管理，避免另建第二 CRM。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 State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→ QUALIFIED → CONTACTED → REPLIED → PROPOSAL → WON / LOST / SUPPRESSED；非法跳轉需 block。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Do Not Contact / unsubscribe / complaint / invalid contact 在後續 Campaign / Delivery Gate 前阻擋。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Secondary Detail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 History、Evidence、Contact Verification、Suppression、Opportunity History 進 Drawer。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12. Stage 03–05 / Candidate → Campaign → Individual Delivery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72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Stage</w:t>
            </w:r>
          </w:p>
        </w:tc>
        <w:tc>
          <w:tcPr>
            <w:tcW w:type="dxa" w:w="511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Mandatory Contract</w:t>
            </w:r>
          </w:p>
        </w:tc>
        <w:tc>
          <w:tcPr>
            <w:tcW w:type="dxa" w:w="2951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Boundary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Candidate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Context + personalization + policy + version + review；create / decide / change request。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Candidate 不得直接送出；Message Stage 不存在 Send CTA。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 ≠ Dispatch；未預覽 recipients 不得核准。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Delivery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APPROVED Campaign + schedule/rate/quota + suppression + idempotency + audit。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每封 Email：To=1、CC/BCC=0；禁止 bulk envelope workaround。</w:t>
            </w:r>
          </w:p>
        </w:tc>
      </w:tr>
      <w:tr>
        <w:trPr>
          <w:cantSplit/>
        </w:trPr>
        <w:tc>
          <w:tcPr>
            <w:tcW w:type="dxa" w:w="172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Reply / Bounce</w:t>
            </w:r>
          </w:p>
        </w:tc>
        <w:tc>
          <w:tcPr>
            <w:tcW w:type="dxa" w:w="511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回覆、退信、失敗與 suppression 進既有 delivery/result lineage。</w:t>
            </w:r>
          </w:p>
        </w:tc>
        <w:tc>
          <w:tcPr>
            <w:tcW w:type="dxa" w:w="2951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failure 不能顯示 COMPLETE；只能重試尚未合法完成的 delta。</w:t>
            </w:r>
          </w:p>
        </w:tc>
      </w:tr>
      <w:tr>
        <w:trPr>
          <w:cantSplit/>
        </w:trPr>
        <w:tc>
          <w:tcPr>
            <w:tcW w:type="dxa" w:w="172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511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只在適用狀態、明確 target scope、reason、permission、state guard 下出現。</w:t>
            </w:r>
          </w:p>
        </w:tc>
        <w:tc>
          <w:tcPr>
            <w:tcW w:type="dxa" w:w="2951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不得用 client-only stop 假裝已停止 server delivery。</w:t>
            </w:r>
          </w:p>
        </w:tc>
      </w:tr>
    </w:tbl>
    <w:p>
      <w:pPr>
        <w:spacing w:after="20"/>
      </w:pPr>
    </w:p>
    <w:p>
      <w:pPr>
        <w:spacing w:before="60" w:after="40"/>
        <w:jc w:val="center"/>
      </w:pPr>
      <w:r>
        <w:drawing>
          <wp:inline xmlns:a="http://schemas.openxmlformats.org/drawingml/2006/main" xmlns:pic="http://schemas.openxmlformats.org/drawingml/2006/picture">
            <wp:extent cx="6400800" cy="3556000"/>
            <wp:docPr id="3" name="Picture 3" descr="DEV-01 Campaign 與 Individual Delivery 設計預覽" title="DEV-01 Campaign 與 Individual Delivery 設計預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01_CAMPAIGN_DELIVERY_GOVERNA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5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40"/>
        <w:jc w:val="center"/>
      </w:pPr>
      <w:r>
        <w:rPr>
          <w:rFonts w:ascii="Noto Sans CJK TC" w:hAnsi="Noto Sans CJK TC" w:eastAsia="Noto Sans CJK TC"/>
          <w:b w:val="0"/>
          <w:color w:val="5E6680"/>
          <w:sz w:val="15"/>
        </w:rPr>
        <w:t>圖 3｜DEV-01 Campaign / Delivery：Recipient Preview、Approval 與一對一外寄治理。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13. Functional Chain / 必須完整閉環的核心鏈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5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Flow</w:t>
            </w:r>
          </w:p>
        </w:tc>
        <w:tc>
          <w:tcPr>
            <w:tcW w:type="dxa" w:w="324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Intent → Terminal Outcome</w:t>
            </w:r>
          </w:p>
        </w:tc>
        <w:tc>
          <w:tcPr>
            <w:tcW w:type="dxa" w:w="496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Required Chain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Discovery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找到符合條件的企業商機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 / Opportunity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把可用 Signal 沉澱成可追蹤企業商機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形成可審核的一對一開發內容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rPr>
          <w:cantSplit/>
        </w:trPr>
        <w:tc>
          <w:tcPr>
            <w:tcW w:type="dxa" w:w="15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Campaign</w:t>
            </w:r>
          </w:p>
        </w:tc>
        <w:tc>
          <w:tcPr>
            <w:tcW w:type="dxa" w:w="324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形成合法受眾批次</w:t>
            </w:r>
          </w:p>
        </w:tc>
        <w:tc>
          <w:tcPr>
            <w:tcW w:type="dxa" w:w="496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rPr>
          <w:cantSplit/>
        </w:trPr>
        <w:tc>
          <w:tcPr>
            <w:tcW w:type="dxa" w:w="15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Delivery</w:t>
            </w:r>
          </w:p>
        </w:tc>
        <w:tc>
          <w:tcPr>
            <w:tcW w:type="dxa" w:w="324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合法外寄並追蹤結果</w:t>
            </w:r>
          </w:p>
        </w:tc>
        <w:tc>
          <w:tcPr>
            <w:tcW w:type="dxa" w:w="496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 State / Gate / Permission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States / Rules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Common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LOADING / READY / EMPTY / ERROR / POLICY_BLOCKED / VERSION_CONFLICT / REVIEW_REQUIRED / EXTERNAL_PENDING / READ_ONLY / ARCHIVED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Job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RUNNING / PAUSED / STOPPED；start/pause/resume/stop 依 exact state guard。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Profile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DRAFT / ACTIVE / PAUSED / RETIRED（若正式 owner 綁定後啟用）。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Market Signal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NEW / QUALIFIED / IGNORED / ENGAGED / CONVERTED / SUPPRESSED。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Opportunity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OPEN / QUALIFIED / CONTACTED / REPLIED / PROPOSAL / WON / LOST / SUPPRESSED。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/ APPROVED / QUEUED；Approval 與 Dispatch 分離。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Authorization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14.1 Critical Gates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23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756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Condition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 Start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+ configure + valid profile/request + allowed source + rate/policy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Signal Decide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signal + evidence + version + permission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Merge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2+ identity-resolved refs + evidence + current preview + explicit confirm + version/idempotency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Message Review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candidate/version + policy result + review permission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REVIEW + recipient preview + suppression + content version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Dispatch</w:t>
            </w:r>
          </w:p>
        </w:tc>
        <w:tc>
          <w:tcPr>
            <w:tcW w:type="dxa" w:w="756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APPROVED + To=1 + CC/BCC=0 + suppression pass + schedule/rate + version/idempotency + audit</w:t>
            </w:r>
          </w:p>
        </w:tc>
      </w:tr>
      <w:tr>
        <w:trPr>
          <w:cantSplit/>
        </w:trPr>
        <w:tc>
          <w:tcPr>
            <w:tcW w:type="dxa" w:w="223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Kill Switch</w:t>
            </w:r>
          </w:p>
        </w:tc>
        <w:tc>
          <w:tcPr>
            <w:tcW w:type="dxa" w:w="756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exact target + reason + high-risk confirmation + permission + state guard + audit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15. API / Runtime / Cross-page Integration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237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Operation</w:t>
            </w:r>
          </w:p>
        </w:tc>
        <w:tc>
          <w:tcPr>
            <w:tcW w:type="dxa" w:w="3816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Method / Route</w:t>
            </w:r>
          </w:p>
        </w:tc>
        <w:tc>
          <w:tcPr>
            <w:tcW w:type="dxa" w:w="360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Role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startCompanyDiscovery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Start discovery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pause/resume/stopCompanyDiscovery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/v1/outreach/discovery-jobs/{jobId}/...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Lifecycle control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searchProjection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/v1/search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Directory / audience search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previewCompanyMerge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/v1/outreach/companies/merge-preview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Non-destructive preview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mergeCompanyCandidate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/v1/outreach/companies/{companyId}/merge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Merge with lineage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decide Candidate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/v1/candidates...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Message candidate lifecycle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 / approve Campaign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/v1/outreach/campaigns...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Batch lifecycle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dispatchOutreachCampaign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/v1/outreach/campaigns/{campaignId}/dispatch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Creates governed individual delivery work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refreshProjection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/v1/projections/refresh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Read model refresh</w:t>
            </w:r>
          </w:p>
        </w:tc>
      </w:tr>
      <w:tr>
        <w:trPr>
          <w:cantSplit/>
        </w:trPr>
        <w:tc>
          <w:tcPr>
            <w:tcW w:type="dxa" w:w="237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setKillSwitch</w:t>
            </w:r>
          </w:p>
        </w:tc>
        <w:tc>
          <w:tcPr>
            <w:tcW w:type="dxa" w:w="3816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POST /v1/operations/kill-switch</w:t>
            </w:r>
          </w:p>
        </w:tc>
        <w:tc>
          <w:tcPr>
            <w:tcW w:type="dxa" w:w="360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High-risk stop</w:t>
            </w:r>
          </w:p>
        </w:tc>
      </w:tr>
      <w:tr>
        <w:trPr>
          <w:cantSplit/>
        </w:trPr>
        <w:tc>
          <w:tcPr>
            <w:tcW w:type="dxa" w:w="237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Optimization operations</w:t>
            </w:r>
          </w:p>
        </w:tc>
        <w:tc>
          <w:tcPr>
            <w:tcW w:type="dxa" w:w="3816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Profile Save / Signal Decide / Contact Upsert / Opportunity Update</w:t>
            </w:r>
          </w:p>
        </w:tc>
        <w:tc>
          <w:tcPr>
            <w:tcW w:type="dxa" w:w="360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1ECFF"/>
        <w:pBdr>
          <w:left w:val="single" w:sz="18" w:space="8" w:color="8B5CFF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Cross-page：來源設定回到 KB / Shared Acquisition；Provider / model / secret 不在 DEV-01 管理；前後台權限由 IAM-01 明確 assignment；任何共享能力只能被引用，不可複製成 page-local runtime。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16. Data / Lineage / Security / Error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Data Reuse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Profile / Signal / Opportunity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若實作需要持久化，必須先有唯一 current owner / schema / migration / permission / audit；文件不授權 ad-hoc table。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PII / Contact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僅公開或已授權資料；保留 rights/classification/freshness/retention；私人/未知來源不可自動採集。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Suppression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跨 Campaign/Topic 生效；任何送達前 Gate 都不可 bypass。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Partial Apply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多步操作部分成功時保持 non-final，呈現 succeeded/blocked/failed；只對未完成合法 work 做 idempotent retry。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Connector Failure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標記 EXTERNAL_PENDING/ERROR；不得生成假結果；只依正式 retry policy。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Version Conflict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重新讀 current exact entity、重跑 preview，再要求確認。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Undefined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未註冊 field / operation / route / service → BLOCK + REPORT，禁止另建平行系統。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17. Visual Geometry / States / Responsive / i18n / A11y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088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7703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Specification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Global Theme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科技紫；Page 不自建 palette / button theme。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Height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標準 40px；Compact 32px；Page-specific Stage action 可依 current class 38–40px，但同類一致。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Touch Target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至少 44×44px。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Primary CTA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同一 Dock 同時最多 1 個 Primary。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State Geometry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Default/Hover/Focus/Disabled/Loading/Success/Error 不改變 width / height / padding，避免 layout jump。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Text Overflow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固定寬度控制不可自動長大；短 label、ellipsis、tooltip。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Table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高資訊密度；row action 只保留主操作，其餘 Drawer/More。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Desktop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必須做 geometry evidence；&lt;1280 horizontal scroll，不重排成第二套 mobile flow。</w:t>
            </w:r>
          </w:p>
        </w:tc>
      </w:tr>
      <w:tr>
        <w:trPr>
          <w:cantSplit/>
        </w:trPr>
        <w:tc>
          <w:tcPr>
            <w:tcW w:type="dxa" w:w="2088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Locales</w:t>
            </w:r>
          </w:p>
        </w:tc>
        <w:tc>
          <w:tcPr>
            <w:tcW w:type="dxa" w:w="7703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zh-TW / zh-CN / en；ORANGE ONE、ACPOS、AI、API、Campaign、Provider 可保留固定詞。</w:t>
            </w:r>
          </w:p>
        </w:tc>
      </w:tr>
      <w:tr>
        <w:trPr>
          <w:cantSplit/>
        </w:trPr>
        <w:tc>
          <w:tcPr>
            <w:tcW w:type="dxa" w:w="2088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</w:t>
            </w:r>
          </w:p>
        </w:tc>
        <w:tc>
          <w:tcPr>
            <w:tcW w:type="dxa" w:w="7703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 Validation / Acceptance /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44"/>
        <w:gridCol w:w="5244"/>
      </w:tblGrid>
      <w:tr>
        <w:trPr>
          <w:tblHeader w:val="true"/>
          <w:cantSplit/>
        </w:trPr>
        <w:tc>
          <w:tcPr>
            <w:tcW w:type="dxa" w:w="2520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Validation Dimension</w:t>
            </w:r>
          </w:p>
        </w:tc>
        <w:tc>
          <w:tcPr>
            <w:tcW w:type="dxa" w:w="7272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Requirement Coverage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五階段與優化補強全部能映射到明確 Entity / Action / Gate / Owner。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No Duplicate System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無第二 CRM / Company DB / Source Registry / Candidate / Campaign / Delivery / Suppression / Audit 系統。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Functional Chain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UI hide 不等於 authorization；所有 effectful server operation 需 exact permission/scope/state/audit。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Broad Discovery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Recipient Governance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Campaign Approval 前有 recipient preview / suppression；Delivery To=1, CC/BCC=0。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Geometry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1280/1440/1920：overlap=0、clipping=0、text overflow=0、anchor drift=0。</w:t>
            </w:r>
          </w:p>
        </w:tc>
      </w:tr>
      <w:tr>
        <w:trPr>
          <w:cantSplit/>
        </w:trPr>
        <w:tc>
          <w:tcPr>
            <w:tcW w:type="dxa" w:w="2520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A11y / i18n</w:t>
            </w:r>
          </w:p>
        </w:tc>
        <w:tc>
          <w:tcPr>
            <w:tcW w:type="dxa" w:w="7272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鍵盤、focus、table semantics、disabled reason、三語切換符合規格。</w:t>
            </w:r>
          </w:p>
        </w:tc>
      </w:tr>
      <w:tr>
        <w:trPr>
          <w:cantSplit/>
        </w:trPr>
        <w:tc>
          <w:tcPr>
            <w:tcW w:type="dxa" w:w="2520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Truthful Completion</w:t>
            </w:r>
          </w:p>
        </w:tc>
        <w:tc>
          <w:tcPr>
            <w:tcW w:type="dxa" w:w="7272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Word 完成 ≠ Runtime / E2E / Production 完成；實際施工需 evidence 才可標 PASS。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18.1 Definition of Done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Page Design：9 Sections、必要 Components、現行 22 control 基礎與 6 個優化補強 interaction 均有位置、狀態、Gate 與 owner boundary。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Functional：五階段同頁流程成立；Profile/Signal/Opportunity 不造成第二套 domain system。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Data：Company/Contact/Candidate/Campaign/Delivery lineage 可追溯；Suppression / Evidence / Audit 不丟失。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Runtime：所有 effectful operation 綁 exact registered owner；未解析者 Fail-Closed。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Visual：科技紫、72/28、52px Stage Bar、56px Action Dock、480–560 Drawer 一致；無卡片牆與假 KPI。</w:t>
      </w:r>
    </w:p>
    <w:p>
      <w:pPr>
        <w:pStyle w:val="ListBullet"/>
        <w:spacing w:after="40" w:line="264" w:lineRule="auto"/>
      </w:pPr>
      <w:r>
        <w:rPr>
          <w:rFonts w:ascii="Noto Sans CJK TC" w:hAnsi="Noto Sans CJK TC" w:eastAsia="Noto Sans CJK TC"/>
          <w:b w:val="0"/>
          <w:color w:val="18203A"/>
          <w:sz w:val="17"/>
        </w:rPr>
        <w:t>Test：Unit / API / Permission / Browser / E2E / Production 各層依適用範圍分別驗證，不能互相代替。</w:t>
      </w:r>
    </w:p>
    <w:p>
      <w:pPr>
        <w:pStyle w:val="Heading1"/>
        <w:keepNext/>
        <w:spacing w:before="180" w:after="80"/>
      </w:pPr>
      <w:r>
        <w:rPr>
          <w:rFonts w:ascii="Noto Sans CJK TC" w:hAnsi="Noto Sans CJK TC" w:eastAsia="Noto Sans CJK TC"/>
          <w:b/>
          <w:color w:val="6E35FF"/>
          <w:sz w:val="29"/>
        </w:rPr>
        <w:t>19. Construction Mapping / 施工落點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96"/>
        <w:gridCol w:w="3496"/>
        <w:gridCol w:w="3496"/>
      </w:tblGrid>
      <w:tr>
        <w:trPr>
          <w:tblHeader w:val="true"/>
          <w:cantSplit/>
        </w:trPr>
        <w:tc>
          <w:tcPr>
            <w:tcW w:type="dxa" w:w="194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38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Implementation Target</w:t>
            </w:r>
          </w:p>
        </w:tc>
        <w:tc>
          <w:tcPr>
            <w:tcW w:type="dxa" w:w="4464"/>
            <w:shd w:fill="0B1027"/>
            <w:tcBorders>
              <w:top w:val="single" w:sz="5" w:color="5D68A0"/>
              <w:left w:val="single" w:sz="5" w:color="5D68A0"/>
              <w:bottom w:val="single" w:sz="5" w:color="5D68A0"/>
              <w:right w:val="single" w:sz="5" w:color="5D68A0"/>
              <w:insideH w:val="single" w:sz="5" w:color="5D68A0"/>
              <w:insideV w:val="single" w:sz="5" w:color="5D68A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Page UI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visual/workbench component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保留單頁 5 Stage；只修改受影響區域，不重做整站 shell。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Control Binding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DEV-01 control/action bindings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Current 22 controls 沿用；新增 6 interaction 需先有 exact owner / permission / gate。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Acquisition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Shared runtime / KB Source owner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DEV 只發出受治理 intent；不自行 fetch/crawl。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Directory / Outreach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Outreach services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Company / Contact / Candidate / Campaign / Delivery 全部沿用既有 owner。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Permission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IAM explicit assignments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enterprise_development L1 僅是入口配置；Runtime 仍靠 exact resources/actions。</w:t>
            </w:r>
          </w:p>
        </w:tc>
      </w:tr>
      <w:tr>
        <w:trPr>
          <w:cantSplit/>
        </w:trPr>
        <w:tc>
          <w:tcPr>
            <w:tcW w:type="dxa" w:w="194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Audit / Evidence</w:t>
            </w:r>
          </w:p>
        </w:tc>
        <w:tc>
          <w:tcPr>
            <w:tcW w:type="dxa" w:w="338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Existing audit/evidence owner</w:t>
            </w:r>
          </w:p>
        </w:tc>
        <w:tc>
          <w:tcPr>
            <w:tcW w:type="dxa" w:w="4464"/>
            <w:shd w:fill="F7F8FC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所有 mutation / external attempt / suppression / decision / delivery 保留 correlation / evidence。</w:t>
            </w:r>
          </w:p>
        </w:tc>
      </w:tr>
      <w:tr>
        <w:trPr>
          <w:cantSplit/>
        </w:trPr>
        <w:tc>
          <w:tcPr>
            <w:tcW w:type="dxa" w:w="194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Visual QA</w:t>
            </w:r>
          </w:p>
        </w:tc>
        <w:tc>
          <w:tcPr>
            <w:tcW w:type="dxa" w:w="338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Browser geometry evidence</w:t>
            </w:r>
          </w:p>
        </w:tc>
        <w:tc>
          <w:tcPr>
            <w:tcW w:type="dxa" w:w="4464"/>
            <w:shd w:fill="FFFFFF"/>
            <w:tcBorders>
              <w:top w:val="single" w:sz="5" w:color="D8DDF0"/>
              <w:left w:val="single" w:sz="5" w:color="D8DDF0"/>
              <w:bottom w:val="single" w:sz="5" w:color="D8DDF0"/>
              <w:right w:val="single" w:sz="5" w:color="D8DDF0"/>
              <w:insideH w:val="single" w:sz="5" w:color="D8DDF0"/>
              <w:insideV w:val="single" w:sz="5" w:color="D8DDF0"/>
            </w:tcBorders>
            <w:tcMar>
              <w:top w:w="75" w:type="dxa"/>
              <w:start w:w="80" w:type="dxa"/>
              <w:bottom w:w="75" w:type="dxa"/>
              <w:end w:w="80" w:type="dxa"/>
            </w:tcMar>
            <w:vAlign w:val="center"/>
          </w:tcPr>
          <w:p>
            <w:pPr>
              <w:spacing w:after="0" w:line="245" w:lineRule="auto"/>
            </w:pPr>
            <w:r>
              <w:rPr>
                <w:rFonts w:ascii="Noto Sans CJK TC" w:hAnsi="Noto Sans CJK TC" w:eastAsia="Noto Sans CJK TC"/>
                <w:b w:val="0"/>
                <w:color w:val="18203A"/>
                <w:sz w:val="14"/>
              </w:rPr>
              <w:t>1280 / 1440 / 1920 覆蓋，所有未授權 drift = 0。</w:t>
            </w:r>
          </w:p>
        </w:tc>
      </w:tr>
    </w:tbl>
    <w:p>
      <w:pPr>
        <w:spacing w:after="20"/>
      </w:pPr>
    </w:p>
    <w:p>
      <w:pPr>
        <w:keepLines/>
        <w:spacing w:before="60" w:after="120"/>
        <w:shd w:fill="FFF5E4"/>
        <w:pBdr>
          <w:left w:val="single" w:sz="18" w:space="8" w:color="F3B84B"/>
        </w:pBdr>
      </w:pPr>
      <w:r>
        <w:rPr>
          <w:rFonts w:ascii="Noto Sans CJK TC" w:hAnsi="Noto Sans CJK TC" w:eastAsia="Noto Sans CJK TC"/>
          <w:b/>
          <w:color w:val="18203A"/>
          <w:sz w:val="17"/>
        </w:rPr>
        <w:t>施工優先順序：先完成 Profile / Signal / Opportunity 的 owner / schema / permission / API contract，再做 Stage 01–02 UI 補強；Stage 03–05 優先重用現有 Candidate / Campaign / Delivery 閉環，避免因優化前兩階段而重做後半系統。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37" w:right="709" w:bottom="680" w:left="709" w:header="283" w:footer="28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b w:val="0"/>
        <w:color w:val="5E6680"/>
        <w:sz w:val="14"/>
      </w:rPr>
      <w:t>DEV-01 企業自動開發系統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b/>
        <w:color w:val="6E35FF"/>
        <w:sz w:val="15"/>
      </w:rPr>
      <w:t>ORANGE ONE  ·  DEV-01  · 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DEV-01 企業自動開發系統 Mother Basic Design</dc:title>
  <dc:subject>Enterprise Automation optimized design</dc:subject>
  <dc:creator>ORANGE ONE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