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Execution / Compiler / Tool / AIAPI Quality Runtime Contract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Quality Execution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Operation class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input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output / state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Fail-closed condition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Resolve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artifact_type + department + exact scope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profile_uid + criteria_version_id + policy_version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applicable approved profile/version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Evaluate Output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exact_output_ref + checksum + profile/version + required_checks + evidence context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 scores + weighted total + hard-block status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Output/version/checksum mismatch or missing criteria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Finding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dimension_uid/category + severity + affected scope + evidence refs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 OPEN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Category/Severity/Evidence owner missing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Correction Request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finding_ids + source_scorecard_ids + exact output/version + target owner + required_action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correction_request_id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canonical target owner / no exact output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Recheck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NEW exact output/version + prior finding/correction refs + same or explicitly superseding criteria 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fresh scorecard + finding closure eligibility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Reusing old output/version after correction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Configure Criteria Draft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profile baseline + department/applicability + dimensions/checks/gate policy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Attempt to mutate APPROVED/ACTIVE in place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Submit Criteria Review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resource/version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state + audit event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DRAFT / missing permission / invalid content hash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Approve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resource/version + approver 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Self/unauthorized approval, non-REVIEW state, invalid/missing evidence</w:t>
            </w:r>
          </w:p>
        </w:tc>
      </w:tr>
    </w:tbl>
    <w:p>
      <w:pPr>
        <w:pStyle w:val="Heading2"/>
      </w:pPr>
      <w:r>
        <w:t>SG-02 Lifecycle Runtime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Control / Action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Operation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Route / interface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Word authority status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configuration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Submit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submitGovernedResourceReview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POST /v1/governance/resources/{id}/submit-review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NEW Authority after complete Word-source scan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approval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governance.approve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</w:tbl>
    <w:p>
      <w:r>
        <w:t>03 MUST treat the Submit Review operation as a required construction contract, but MUST NOT claim Runtime/Production implementation evidence merely because this Word contract exists.</w:t>
      </w:r>
    </w:p>
    <w:p>
      <w:pPr>
        <w:pStyle w:val="Heading2"/>
      </w:pPr>
      <w:r>
        <w:t>Typed Payload Minimums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Minimum fields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EvaluateOutputRequest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exact_output_ref, output_version_ref, checksum, department, artifact_type, profile_uid, criteria_version_id, policy_version, required_check_refs, evidence_context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CreateFindingRequest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scorecard_id, dimension_uid, category_uid, severity, affected_scope, evidence_refs, exact_output_ref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CorrectionRequest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finding_ids, source_scorecard_ids, exact_output_ref, root_cause_classification, required_action, target_department, revalidation_requirements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RecheckRequest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prior_scorecard_id, finding_ids, correction_request_id, NEW exact_output_ref/version, criteria_version_id, policy_version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SubmitGovernedResourceReviewRequest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resource_id, current_draft_version, content_hash, correlation_id, idempotency_key, submission_reason/evidence refs</w:t>
            </w:r>
          </w:p>
        </w:tc>
      </w:tr>
    </w:tbl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12 · Exact-Relation Canonical Field Closure</w:t>
      </w:r>
    </w:p>
    <w:p>
      <w:r>
        <w:rPr>
          <w:b/>
        </w:rPr>
        <w:t xml:space="preserve">[ACPOS-20260921-BATCH-12-EXACT-RELATION-REMEDIATION-V1::03_ACPOS_AI_Execution_Script_Compiler_Tool_AIAPI_Runtime_Mother_Basic_Logic_Design_Normative_Contract_v1.0.docx] </w:t>
      </w:r>
      <w:r>
        <w:t>The rows below close only fields supported by a unique exact Operation relation already present in this same Canonical Owner document. No fuzzy label matching, cross-system transfer, first-match inference, or new API/owner identity is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Authority Relation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Status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quality.criteria.configure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EXACT_OPERATION_TO_PERMISSION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EXACT_OPERATION_TO_PERMISSION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</w:tbl>
    <w:sectPr w:rsidR="00FC693F" w:rsidRPr="0006063C" w:rsidSect="00034616">
      <w:pgSz w:w="12240" w:h="15840" w:orient="landscape"/>
      <w:pgMar w:top="504" w:right="432" w:bottom="504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