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218"/>
          </w:tcPr>
          <w:p>
            <w:r>
              <w:t>quality.criteria.configure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218"/>
          </w:tcPr>
          <w:p>
            <w:r>
              <w:t>governance.approve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Approval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Sandbox Evidence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Operational Control State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13 · Action UID Applicability Ledger</w:t>
      </w:r>
    </w:p>
    <w:p>
      <w:r>
        <w:rPr>
          <w:b/>
        </w:rPr>
        <w:t xml:space="preserve">[ACPOS-20260921-BATCH-13-EXPLICIT-NA-ACTION-SEMANTICS-V1::PAGE::AIAPI-01] </w:t>
      </w:r>
      <w:r>
        <w:t>This ledger records applicability only. Product Control Registry rows remain unchanged; Action UID stays '—'. These rows MUST NOT be parsed as additional product controls.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 Class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Required 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AIAPI-01-BTN-APPROVE-GOVERNED-RESOURCE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AIAPI-01-BTN-CONFIGURE-GOVERNED-RESOURCE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AIAPI-01-BTN-RUN-PROVIDER-QUEUE-PROBE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CTRL-ADMIN-AIAPI-05-PROVIDER-CANDIDATE-GROUPS-CREATE-GROUP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CTRL-ADMIN-AIAPI-05-PROVIDER-CANDIDATE-GROUPS-RESTORE-PROVIDER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CTRL-ADMIN-AIAPI-05-PROVIDER-CANDIDATE-GROUPS-VIEW-QUARANTINE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CTRL-ADMIN-AIAPI-06-PROVIDER-MODEL-PROFILES-CREATE-PROFILE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CTRL-ADMIN-AIAPI-06-PROVIDER-MODEL-PROFILES-DELETE-CREDENTIAL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CTRL-ADMIN-AIAPI-06-PROVIDER-MODEL-PROFILES-RETIRE-PROFILE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CTRL-ADMIN-AIAPI-06-PROVIDER-MODEL-PROFILES-SET-CREDENTIAL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CTRL-ADMIN-AIAPI-06-PROVIDER-MODEL-PROFILES-TEST-PROFILE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CTRL-ADMIN-AIAPI-06-PROVIDER-MODEL-PROFILES-UPDATE-PROFILE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CTRL-ADMIN-AIAPI-06-PROVIDER-MODEL-PROFILES-VIEW-PROFILE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CTRL-ADMIN-AIAPI-08-ROUTE-SIMULATION-EXECUTE-ROUTE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CTRL-ADMIN-AIAPI-08-ROUTE-SIMULATION-VIEW-ROUTE-DECISION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CTRL-ADMIN-AIAPI-09-ACT-02-ACT-KILL-SWITCH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38 · AIAPI Persistence Binding Ledger</w:t>
      </w:r>
    </w:p>
    <w:p>
      <w:r>
        <w:rPr>
          <w:b/>
        </w:rPr>
        <w:t xml:space="preserve">[ACPOS-20260922-BATCH-38-SYSTEM03-PERSISTENCE-REMEDIATION-V1::PAGE::AIAPI-01] </w:t>
      </w:r>
      <w:r>
        <w:t>These four Persistence Owner bindings preserve existing Method/Path, Payload/Schema, Runtime Owner and Runtime Status. Governed-resource persistence remains with the exact resolved resource owner; sandbox and kill-switch evidence remain AI-03 operational/audit concerns. No Production execution claim is made.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Governance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The command configures an exact governed resource. AIAPI/IAM runtime must not steal domain persistence ownership; the exact resource owner persists state while governance audit preserves actor/correlation/version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Approval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Approval writes the governed resource's approved/version state under its canonical owner and preserves separate approver/rationale/audit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AIAPI-01-BTN-RUN-SANDBOX-TEST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Sandbox Evidence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Sandbox may persist isolated test evidence and lineage only; Production secret/output writes and Production-pass claims remain forbidden.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Operational Control State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Kill switch is a server-side operational gate that dominates execution; state transition and authorized reason/correlation/audit evidence must remain reconstructable.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T5R11[—]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T5R11[High-risk]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T5R11[Governed]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T5R3[Delete]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T5R3[Set/Delete]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T5R4[Disable]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T5R4[—]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T5R4[Configure]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T5R12[—]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T5R12[—]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T5R12[Runtime]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T5R12[Profile-only]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T5R5[—]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T5R5[—]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T5R5[Create]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T5R5[Bounded]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T5R10[—]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T5R10[—]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T5R10[Runtime]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T5R10[Runtime]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T5R2[Retire]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T5R9[—]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T5R9[Confirm]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T5R9[—]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T5R9[Restore]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T5R8[Execute]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T5R7[Run]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[ACPOS-DESIGN-CLOSURE:AIAPI-01:DESIGN-SYSTEM]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Color Tokens</w:t>
            </w:r>
          </w:p>
        </w:tc>
        <w:tc>
          <w:tcPr>
            <w:tcW w:type="dxa" w:w="8016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6"/>
          </w:tcPr>
          <w:p>
            <w:r>
              <w:t>Typography Tokens</w:t>
            </w:r>
          </w:p>
        </w:tc>
        <w:tc>
          <w:tcPr>
            <w:tcW w:type="dxa" w:w="8016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6"/>
          </w:tcPr>
          <w:p>
            <w:r>
              <w:t>Spacing Tokens</w:t>
            </w:r>
          </w:p>
        </w:tc>
        <w:tc>
          <w:tcPr>
            <w:tcW w:type="dxa" w:w="8016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6"/>
          </w:tcPr>
          <w:p>
            <w:r>
              <w:t>Component States</w:t>
            </w:r>
          </w:p>
        </w:tc>
        <w:tc>
          <w:tcPr>
            <w:tcW w:type="dxa" w:w="8016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6"/>
          </w:tcPr>
          <w:p>
            <w:r>
              <w:t>Primary Layout</w:t>
            </w:r>
          </w:p>
        </w:tc>
        <w:tc>
          <w:tcPr>
            <w:tcW w:type="dxa" w:w="8016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6"/>
          </w:tcPr>
          <w:p>
            <w:r>
              <w:t>Navigation Region</w:t>
            </w:r>
          </w:p>
        </w:tc>
        <w:tc>
          <w:tcPr>
            <w:tcW w:type="dxa" w:w="8016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6"/>
          </w:tcPr>
          <w:p>
            <w:r>
              <w:t>Responsive Behavior</w:t>
            </w:r>
          </w:p>
        </w:tc>
        <w:tc>
          <w:tcPr>
            <w:tcW w:type="dxa" w:w="8016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6"/>
          </w:tcPr>
          <w:p>
            <w:r>
              <w:t>Design Ownership</w:t>
            </w:r>
          </w:p>
        </w:tc>
        <w:tc>
          <w:tcPr>
            <w:tcW w:type="dxa" w:w="8016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[ACPOS-DESIGN-CLOSURE:AIAPI-01:GEOMETRY]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[ACPOS-DESIGN-CLOSURE:AIAPI-01:VISUAL]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AIAPI-01-VA-HEADER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AIAPI-01-VA-SIDEBAR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AIAPI-01-VA-WORKSPACE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[ACPOS-DESIGN-CLOSURE:AIAPI-01:VISUAL-CONTRACT]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6"/>
          </w:tcPr>
          <w:p>
            <w:r>
              <w:t>Visual Candidate UID</w:t>
            </w:r>
          </w:p>
        </w:tc>
        <w:tc>
          <w:tcPr>
            <w:tcW w:type="dxa" w:w="80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6"/>
          </w:tcPr>
          <w:p>
            <w:r>
              <w:t>Visual Preview</w:t>
            </w:r>
          </w:p>
        </w:tc>
        <w:tc>
          <w:tcPr>
            <w:tcW w:type="dxa" w:w="80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6"/>
          </w:tcPr>
          <w:p>
            <w:r>
              <w:t>Visual Review</w:t>
            </w:r>
          </w:p>
        </w:tc>
        <w:tc>
          <w:tcPr>
            <w:tcW w:type="dxa" w:w="80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6"/>
          </w:tcPr>
          <w:p>
            <w:r>
              <w:t>Approval Status</w:t>
            </w:r>
          </w:p>
        </w:tc>
        <w:tc>
          <w:tcPr>
            <w:tcW w:type="dxa" w:w="80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6"/>
          </w:tcPr>
          <w:p>
            <w:r>
              <w:t>Change Set / Drift</w:t>
            </w:r>
          </w:p>
        </w:tc>
        <w:tc>
          <w:tcPr>
            <w:tcW w:type="dxa" w:w="80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[ACPOS-DESIGN-CLOSURE:AIAPI-01:ASSET]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Page-local Asset Registry Applicability</w:t>
            </w:r>
          </w:p>
        </w:tc>
        <w:tc>
          <w:tcPr>
            <w:tcW w:type="dxa" w:w="80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8016"/>
          </w:tcPr>
          <w:p>
            <w:r>
              <w:t>Shared Shell Assets</w:t>
            </w:r>
          </w:p>
        </w:tc>
        <w:tc>
          <w:tcPr>
            <w:tcW w:type="dxa" w:w="80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8016"/>
          </w:tcPr>
          <w:p>
            <w:r>
              <w:t>Dynamic Business Content</w:t>
            </w:r>
          </w:p>
        </w:tc>
        <w:tc>
          <w:tcPr>
            <w:tcW w:type="dxa" w:w="80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8016"/>
          </w:tcPr>
          <w:p>
            <w:r>
              <w:t>Binding Contract</w:t>
            </w:r>
          </w:p>
        </w:tc>
        <w:tc>
          <w:tcPr>
            <w:tcW w:type="dxa" w:w="80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8016"/>
          </w:tcPr>
          <w:p>
            <w:r>
              <w:t>Modification Rule</w:t>
            </w:r>
          </w:p>
        </w:tc>
        <w:tc>
          <w:tcPr>
            <w:tcW w:type="dxa" w:w="80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8016"/>
          </w:tcPr>
          <w:p>
            <w:r>
              <w:t>N/A Authority</w:t>
            </w:r>
          </w:p>
        </w:tc>
        <w:tc>
          <w:tcPr>
            <w:tcW w:type="dxa" w:w="80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Audit Baseline / Acceptance Matrix / Definition of Done Closure</w:t>
      </w:r>
    </w:p>
    <w:p>
      <w:r>
        <w:t>[ACPOS-DESIGN-CLOSURE:AIAPI-01:AUDIT]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Audit UID</w:t>
            </w:r>
          </w:p>
        </w:tc>
        <w:tc>
          <w:tcPr>
            <w:tcW w:type="dxa" w:w="8016"/>
          </w:tcPr>
          <w:p>
            <w:r>
              <w:t>AIAPI-01-AUD-DESIGN-001</w:t>
            </w:r>
          </w:p>
        </w:tc>
      </w:tr>
      <w:tr>
        <w:tc>
          <w:tcPr>
            <w:tcW w:type="dxa" w:w="8016"/>
          </w:tcPr>
          <w:p>
            <w:r>
              <w:t>Target UID</w:t>
            </w:r>
          </w:p>
        </w:tc>
        <w:tc>
          <w:tcPr>
            <w:tcW w:type="dxa" w:w="8016"/>
          </w:tcPr>
          <w:p>
            <w:r>
              <w:t>AIAPI-01</w:t>
            </w:r>
          </w:p>
        </w:tc>
      </w:tr>
      <w:tr>
        <w:tc>
          <w:tcPr>
            <w:tcW w:type="dxa" w:w="8016"/>
          </w:tcPr>
          <w:p>
            <w:r>
              <w:t>Required Audit Items</w:t>
            </w:r>
          </w:p>
        </w:tc>
        <w:tc>
          <w:tcPr>
            <w:tcW w:type="dxa" w:w="8016"/>
          </w:tcPr>
          <w:p>
            <w:r>
              <w:t>Requirement/Page identity where applicable; Architecture/Flow; Control/Field; Entity/Operation applicability; Cross-page/topology; Geometry; Visual Anchor/Preview contract; A11y/i18n; Asset applicability; Design Freeze package.</w:t>
            </w:r>
          </w:p>
        </w:tc>
      </w:tr>
      <w:tr>
        <w:tc>
          <w:tcPr>
            <w:tcW w:type="dxa" w:w="8016"/>
          </w:tcPr>
          <w:p>
            <w:r>
              <w:t>Required Tests</w:t>
            </w:r>
          </w:p>
        </w:tc>
        <w:tc>
          <w:tcPr>
            <w:tcW w:type="dxa" w:w="8016"/>
          </w:tcPr>
          <w:p>
            <w:r>
              <w:t>Word structural completeness audit; forward/reverse design-reference audit; DOCX render visual QA; design-only semantic consistency audit.</w:t>
            </w:r>
          </w:p>
        </w:tc>
      </w:tr>
      <w:tr>
        <w:tc>
          <w:tcPr>
            <w:tcW w:type="dxa" w:w="8016"/>
          </w:tcPr>
          <w:p>
            <w:r>
              <w:t>Required Evidence</w:t>
            </w:r>
          </w:p>
        </w:tc>
        <w:tc>
          <w:tcPr>
            <w:tcW w:type="dxa" w:w="8016"/>
          </w:tcPr>
          <w:p>
            <w:r>
              <w:t>Exact Word hash/tree identity; audit result; render page set; visual-review record when a candidate is generated.</w:t>
            </w:r>
          </w:p>
        </w:tc>
      </w:tr>
      <w:tr>
        <w:tc>
          <w:tcPr>
            <w:tcW w:type="dxa" w:w="8016"/>
          </w:tcPr>
          <w:p>
            <w:r>
              <w:t>Required Gates</w:t>
            </w:r>
          </w:p>
        </w:tc>
        <w:tc>
          <w:tcPr>
            <w:tcW w:type="dxa" w:w="8016"/>
          </w:tcPr>
          <w:p>
            <w:r>
              <w:t>Requirement, Naming, Architecture, Navigation, User Flow, Page Registry, Design System, Layout, Component, Asset applicability/binding, Page Design, Visual Preview/Review/Approval, Audit Baseline, Acceptance Matrix, DoD.</w:t>
            </w:r>
          </w:p>
        </w:tc>
      </w:tr>
      <w:tr>
        <w:tc>
          <w:tcPr>
            <w:tcW w:type="dxa" w:w="8016"/>
          </w:tcPr>
          <w:p>
            <w:r>
              <w:t>Acceptance Matrix</w:t>
            </w:r>
          </w:p>
        </w:tc>
        <w:tc>
          <w:tcPr>
            <w:tcW w:type="dxa" w:w="8016"/>
          </w:tcPr>
          <w:p>
            <w:r>
              <w:t>Every item is classified REQUIRED / OPTIONAL / NOT_APPLICABLE with owner/evidence. REQUIRED may not be downgraded merely to obtain PASS.</w:t>
            </w:r>
          </w:p>
        </w:tc>
      </w:tr>
      <w:tr>
        <w:tc>
          <w:tcPr>
            <w:tcW w:type="dxa" w:w="8016"/>
          </w:tcPr>
          <w:p>
            <w:r>
              <w:t>PASS Condition</w:t>
            </w:r>
          </w:p>
        </w:tc>
        <w:tc>
          <w:tcPr>
            <w:tcW w:type="dxa" w:w="8016"/>
          </w:tcPr>
          <w:p>
            <w:r>
              <w:t>All applicable REQUIRED planning/basic-design items are complete and internally consistent; no unresolved duplicate owner/reference or required design gap.</w:t>
            </w:r>
          </w:p>
        </w:tc>
      </w:tr>
      <w:tr>
        <w:tc>
          <w:tcPr>
            <w:tcW w:type="dxa" w:w="8016"/>
          </w:tcPr>
          <w:p>
            <w:r>
              <w:t>PARTIAL Condition</w:t>
            </w:r>
          </w:p>
        </w:tc>
        <w:tc>
          <w:tcPr>
            <w:tcW w:type="dxa" w:w="8016"/>
          </w:tcPr>
          <w:p>
            <w:r>
              <w:t>Only explicitly OPTIONAL or justified NOT_APPLICABLE design items remain; no REQUIRED item is missing.</w:t>
            </w:r>
          </w:p>
        </w:tc>
      </w:tr>
      <w:tr>
        <w:tc>
          <w:tcPr>
            <w:tcW w:type="dxa" w:w="8016"/>
          </w:tcPr>
          <w:p>
            <w:r>
              <w:t>FAIL Condition</w:t>
            </w:r>
          </w:p>
        </w:tc>
        <w:tc>
          <w:tcPr>
            <w:tcW w:type="dxa" w:w="8016"/>
          </w:tcPr>
          <w:p>
            <w:r>
              <w:t>Any REQUIRED planning/design contract, owner/reference, geometry, topology, acceptance condition or visual prerequisite is unresolved or contradictory.</w:t>
            </w:r>
          </w:p>
        </w:tc>
      </w:tr>
      <w:tr>
        <w:tc>
          <w:tcPr>
            <w:tcW w:type="dxa" w:w="8016"/>
          </w:tcPr>
          <w:p>
            <w:r>
              <w:t>Definition of Done</w:t>
            </w:r>
          </w:p>
        </w:tc>
        <w:tc>
          <w:tcPr>
            <w:tcW w:type="dxa" w:w="8016"/>
          </w:tcPr>
          <w:p>
            <w:r>
              <w:t>Current Word is self-contained enough for authorized construction handoff, while unresolved product choices remain explicitly blocked rather than invented.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