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[ACPOS-DESIGN-CLOSURE:STR-01:REQUIREMENTS]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STR-01／戰略工作區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在同一 Strategy Workspace 保留 topic/context/conversation continuity，讓受權限控制的使用者完成 TEXT_CHAT 型策略討論、分析、建議與決策支援。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STR-01 戰略工作區與對話權限的內部策略使用者／決策參與者。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建立或恢復策略 context、TEXT_CHAT 對話、引用 evidence/context、查看分析與 recommendation、形成決策支援／resource proposal／feedback 並安全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Conversation/thread continuity、Exact context fingerprint、Audit、Fail Closed、不得將 Assistant output 自動視為 Human approval。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Conversation Core、禁止繞過 Human Decision/Approval、禁止為缺失能力發明新的 runtime/provider。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STR-01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UID=STR-01；Owner File=ACPOS_STR-01_WORKSPACE_MOTHER_BASIC_DESIGN_TECH_PURPLE_v1.0.docx；Current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STR-01 Word + Mother 01→04；缺產品選擇時 BLOCK，不由本附錄猜測。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