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t>GET /v1/conversations/{CONVERSATION_ID}/attachments/{ATTACHMENT_ID}/context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StopConversationGenerationRequest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ACPOS-AI-03 Runtime Job + ACPOS-AI-02 ConversationAuditEnvelope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t>SubmitStrategyReviewRequest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t>POST /v1/state-commands/strategycandidate/submitstrategyreview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System 08 / StrategyCandidate + Review State/Audit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t>GET /v1/conversations/{CONVERSATION_ID}/projections/strategy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[ACPOS-20260922-BATCH-36-SYSTEM02-CANONICAL-CONTRACT-REMEDIATION-V1::PAGE::STR-01]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STR-01-VIEW-CONVERSATION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getStrategicConversationProjection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/v1/conversations/{CONVERSATION_ID}/projections/strategy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STR-01-BTN-ATTACH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getConversationAttachmentContext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/v1/conversations/{CONVERSATION_ID}/attachments/{ATTACHMENT_ID}/context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43 · STR-01 Strategy Contract Binding Ledger</w:t>
      </w:r>
    </w:p>
    <w:p>
      <w:r>
        <w:rPr>
          <w:b/>
        </w:rPr>
        <w:t xml:space="preserve">[ACPOS-20260922-BATCH-43-SYSTEM08-STRATEGY-CONTRACT-REMEDIATION-V1::PAGE::STR-01]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pPr>
        <w:spacing w:before="0" w:after="0" w:line="240" w:lineRule="auto"/>
      </w:pPr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  <w:spacing w:before="0" w:after="0" w:line="240" w:lineRule="auto"/>
      </w:pPr>
      <w:r>
        <w:rPr>
          <w:sz w:val="21"/>
        </w:rPr>
        <w:t>Requirement Definition Gate Closure｜需求定義補齊</w:t>
      </w:r>
    </w:p>
    <w:p>
      <w:pPr>
        <w:spacing w:before="0" w:after="0" w:line="240" w:lineRule="auto"/>
      </w:pPr>
      <w:r>
        <w:t>[ACPOS-DESIGN-CLOSURE:STR-01:REQUIREMENTS]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Project Scope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STR-01／戰略工作區 current Word planning/basic-design scope；僅補設計規範，不改變已存在產品 Authority。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Business Goal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在同一 Strategy Workspace 保留 topic/context/conversation continuity，讓受權限控制的使用者完成 TEXT_CHAT 型策略討論、分析、建議與決策支援。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Target User / Role Definition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具 STR-01 戰略工作區與對話權限的內部策略使用者／決策參與者。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Functional Requirements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建立或恢復策略 context、TEXT_CHAT 對話、引用 evidence/context、查看分析與 recommendation、形成決策支援／resource proposal／feedback 並安全 handoff。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Non-functional Requirements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Conversation/thread continuity、Exact context fingerprint、Audit、Fail Closed、不得將 Assistant output 自動視為 Human approval。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Out-of-Scope Definition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禁止建立第二 Conversation Core、禁止繞過 Human Decision/Approval、禁止為缺失能力發明新的 runtime/provider。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Glossary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STR-01 使用本文既有 Entity / Operation / State / Owner / Evidence / Version 名詞；同義詞不得建立第二 identity。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Naming Registry Initial State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UID=STR-01；Owner File=ACPOS_STR-01_WORKSPACE_MOTHER_BASIC_DESIGN_TECH_PURPLE_v1.0.docx；Current canonical filename only；禁止 copy/backup/alternate owner。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Authority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STR-01 Word + Mother 01→04；缺產品選擇時 BLOCK，不由本附錄猜測。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Design System / Layout Closure｜設計系統與版面補齊</w:t>
      </w:r>
    </w:p>
    <w:p>
      <w:pPr>
        <w:spacing w:before="0" w:after="0" w:line="240" w:lineRule="auto"/>
      </w:pPr>
      <w:r>
        <w:t>[ACPOS-DESIGN-CLOSURE:STR-01:DESIGN-SYSTEM]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Color Tokens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Typography Tokens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Design System typography; page-local text hierarchy may only use registered heading/body/label/technical text roles.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Spacing Tokens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registered gap/padding/spacing tokens; existing exact page gaps remain authoritative; no ad-hoc pixel drift.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States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Primary Layout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existing Primary Grid / Section / Workspace layout as the page-local authority; this annex introduces no second grid.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Navigation Region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and collapsible/overlay Sidebar remain shared shell regions; page Workspace starts in the registered content region.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Responsive Behavior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current page responsive rule and shared shell breakpoint owner; semantic order and functional topology MUST remain stable across reflow.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Ownership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Geometry Contract Closure｜視覺幾何補齊</w:t>
      </w:r>
    </w:p>
    <w:p>
      <w:pPr>
        <w:spacing w:before="0" w:after="0" w:line="240" w:lineRule="auto"/>
      </w:pPr>
      <w:r>
        <w:t>[ACPOS-DESIGN-CLOSURE:STR-01:GEOMETRY]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Viewport / Breakpoint UID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Container Width / Min / Max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Retain current Global Shell + page Primary Grid width contract. No page-local implicit width may override an existing exact dimension.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Grid Columns / Span / Gutter / Outer Margin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existing page Primary Grid / section mapping and current gap/margin values; any structural grid change requires Change Set.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Section Bounding Rules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Every registered Section remains within its current Workspace region; sticky/fixed/overlay areas MUST NOT occlude required controls.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/ Control / Field Width / Height Rules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Control/Field Dimensions or shared component token. State transitions MUST NOT cause layout jump.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Min / Max Width / Height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Gap / Padding / Alignment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page spacing/grid tokens; alignment changes outside token tolerance require Visual Review.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Aspect Ratio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NOT_APPLICABLE unless the current page declares an image/video/preview ratio; when declared, the exact current ratio remains authoritative.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Overflow / Scroll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Collapse / Stack / Wrap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Reflow may stack/collapse only within the current responsive contract; semantic order, required adjacency and operation order MUST NOT change.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Z-order / Overlay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Text Capacity / Truncation / Wrap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 Object-fit / Object-position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Asset Binding owner when a formal visual asset exists; otherwise NOT_APPLICABLE.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Visual Anchors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Bound to the Visual Anchor Registry in this annex; unlisted regions are not implicitly editable.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Allowed Tolerance / Diff Threshold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Geometry Failure Set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Anchor / Preview / Review Contract｜視覺錨點與預覽審查補齊</w:t>
      </w:r>
    </w:p>
    <w:p>
      <w:pPr>
        <w:spacing w:before="0" w:after="0" w:line="240" w:lineRule="auto"/>
      </w:pPr>
      <w:r>
        <w:t>[ACPOS-DESIGN-CLOSURE:STR-01:VISUAL]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cantSplit/>
        </w:trPr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Anchor UID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Position Rule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Dimension Rule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Relationship Rule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 Status</w:t>
            </w:r>
          </w:p>
        </w:tc>
      </w:tr>
      <w:tr>
        <w:trPr>
          <w:cantSplit/>
        </w:trPr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STR-01-VA-HEADER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Fixed at top of shared shell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58px full-width according to current shell authority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Above Sidebar/Workspace; must not be covered by page content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</w:t>
            </w:r>
          </w:p>
        </w:tc>
      </w:tr>
      <w:tr>
        <w:trPr>
          <w:cantSplit/>
        </w:trPr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STR-01-VA-SIDEBAR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Fixed left rail under shared shell header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64px resting; 221px overlay expansion where current shell defines it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Overlay expansion must not silently change the approved page Primary Grid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</w:t>
            </w:r>
          </w:p>
        </w:tc>
      </w:tr>
      <w:tr>
        <w:trPr>
          <w:cantSplit/>
        </w:trPr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STR-01-VA-WORKSPACE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page primary content region below Header / beside resting rail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existing Primary Grid / section dimensions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Owns page-local section geometry; dialogs/drawers are overlays, not replacement layout</w:t>
            </w:r>
          </w:p>
        </w:tc>
        <w:tc>
          <w:tcPr>
            <w:tcW w:type="dxa" w:w="228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LOCKED_EXCEPT_AUTHORIZED_CHANGE_SET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Generation / Review Planning Contract</w:t>
      </w:r>
    </w:p>
    <w:p>
      <w:pPr>
        <w:spacing w:before="0" w:after="0" w:line="240" w:lineRule="auto"/>
      </w:pPr>
      <w:r>
        <w:t>[ACPOS-DESIGN-CLOSURE:STR-01:VISUAL-CONTRACT]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Canonical Visual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visual/baseline already named in this Word or shared current visual owner. This annex does not replace it.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Candidate UID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Generated candidate MUST receive a unique Visual UID and Parent Visual UID; no candidate is deemed approved merely by this annex.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Generation Manifest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Preview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MUST represent the actual website structure, not a moodboard. Preview occurs after page/design specification and before Design Freeze.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Review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Authorized reviewer checks function-to-visual mapping, geometry, anchors, responsive order, A11y/i18n and visual drift.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Approval Status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VISUAL_APPROVED is required before DESIGN_FROZEN. This planning annex does NOT self-approve the page.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Change Set / Drift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A11y / i18n Design Contract Closure｜無障礙與語系補齊</w:t>
      </w:r>
    </w:p>
    <w:p>
      <w:pPr>
        <w:spacing w:before="0" w:after="0" w:line="240" w:lineRule="auto"/>
      </w:pPr>
      <w:r>
        <w:t>[ACPOS-DESIGN-CLOSURE:STR-01:A11Y-I18N]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Keyboard / Focus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Reading and focus order MUST follow semantic operation order. Every interactive control is keyboard reachable; Focus state remains visibly distinct.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ARIA / Label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Icon-only controls require accessible name/label; form fields bind visible label, validation/error description and required state.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Modal / Drawer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On open, focus enters the surface; focus remains contained where modal; close/cancel is keyboard reachable; focus returns to the invoking control.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Color / State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State meaning MUST NOT rely on color alone; text/icon/state label remains available under current contrast tokens.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Error / Validation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Error state is announced/associated with its control or field; failure does not erase user input unless the current design explicitly requires reset.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i18n Languages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Variable Text Length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Localized text may wrap/reflow within current responsive rules but MUST NOT alter functional order, hide required actions or create uncontrolled layout drift.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