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080C20"/>
            <w:tcBorders>
              <w:top w:val="single" w:sz="14" w:color="6E35FF"/>
              <w:left w:val="single" w:sz="14" w:color="6E35FF"/>
              <w:bottom w:val="single" w:sz="14" w:color="6E35FF"/>
              <w:right w:val="single" w:sz="14" w:color="6E35FF"/>
              <w:insideH w:val="single" w:sz="14" w:color="6E35FF"/>
              <w:insideV w:val="single" w:sz="14" w:color="6E35FF"/>
            </w:tcBorders>
            <w:tcMar>
              <w:top w:w="280" w:type="dxa"/>
              <w:start w:w="240" w:type="dxa"/>
              <w:bottom w:w="280" w:type="dxa"/>
              <w:end w:w="240" w:type="dxa"/>
            </w:tcMar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B38CFF"/>
                <w:sz w:val="60"/>
              </w:rPr>
              <w:t>ACPOS</w:t>
              <w:br/>
            </w:r>
            <w:r>
              <w:rPr>
                <w:rFonts w:ascii="Noto Sans CJK TC" w:hAnsi="Noto Sans CJK TC" w:eastAsia="Noto Sans CJK TC"/>
                <w:b/>
                <w:color w:val="F3F5FF"/>
                <w:sz w:val="56"/>
              </w:rPr>
              <w:t>WB-01 儀表板</w:t>
              <w:br/>
            </w:r>
            <w:r>
              <w:rPr>
                <w:rFonts w:ascii="Noto Sans CJK TC" w:hAnsi="Noto Sans CJK TC" w:eastAsia="Noto Sans CJK TC"/>
                <w:b/>
                <w:color w:val="AEB7D9"/>
                <w:sz w:val="34"/>
              </w:rPr>
              <w:t>Mother Basic Design / 科技紫 UI 重建</w:t>
              <w:br/>
            </w:r>
            <w:r>
              <w:rPr>
                <w:rFonts w:ascii="Noto Sans CJK TC" w:hAnsi="Noto Sans CJK TC" w:eastAsia="Noto Sans CJK TC"/>
                <w:b w:val="0"/>
                <w:color w:val="7F88A8"/>
                <w:sz w:val="22"/>
              </w:rPr>
              <w:t>workspace:WB-01</w:t>
              <w:br/>
            </w:r>
            <w:r>
              <w:br/>
            </w:r>
            <w:r>
              <w:rPr>
                <w:rFonts w:ascii="Noto Sans CJK TC" w:hAnsi="Noto Sans CJK TC" w:eastAsia="Noto Sans CJK TC"/>
                <w:b w:val="0"/>
                <w:color w:val="B38CFF"/>
                <w:sz w:val="20"/>
              </w:rPr>
              <w:t>Design Candidate • Current Authority Bound • Real-Data-Only</w:t>
            </w:r>
          </w:p>
        </w:tc>
      </w:tr>
    </w:tbl>
    <w:p>
      <w:pPr>
        <w:spacing w:after="20"/>
      </w:pPr>
      <w:r>
        <w:rPr>
          <w:rFonts w:ascii="Noto Sans CJK TC" w:hAnsi="Noto Sans CJK TC" w:eastAsia="Noto Sans CJK TC"/>
          <w:b w:val="0"/>
          <w:color w:val="2A2438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交付狀態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本文件為 Basic Design + Visual Candidate。尚未取得 Human Visual Approval，因此 DESIGN_FROZEN = FALSE；不得把本文件視為已施工或已升格為 Current Canonical Visual。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GitHub Current 基準：new @ 165c6440cb53b1b45ec96905241fb4d56dc3b867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Page Authority：ACPOS_WB-01_FINAL_LOCKED_ENCODING.yaml @ 49239a0af6cbee94b2b3f8821c0110859f372458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1. Current Truth / Authority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層級</w:t>
            </w:r>
          </w:p>
        </w:tc>
        <w:tc>
          <w:tcPr>
            <w:tcW w:type="dxa" w:w="436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Current Owner / Ref</w:t>
            </w:r>
          </w:p>
        </w:tc>
        <w:tc>
          <w:tcPr>
            <w:tcW w:type="dxa" w:w="419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本文件用途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Repository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steven-gold/orange-one-ai-viedo-v1.0 / branch new / HEAD 165c644…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頁面與 Authority 的 Current Truth 基準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Authority Manifest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ACPOS_CURRENT_AUTHORITY_MANIFEST_FINAL_LOCKED @ V1.8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只允許 manifest 列出的 Current Authority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Authority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 / ACPOS_WB-01_FINAL_LOCKED_ENCODING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Shell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GLOBAL_HOME_SHELL_TEMPLATE_AUTHORITY @ V1.9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 @ V1.0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科技紫 tokens、button/input/panel/state semantics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Mother Basic Design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01_BLUEPRINT_DESIGN_GOVERNANCE：S012–S039、S040C、S040E、S071–S072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Basic Design artifact denominator、Visual Preview/Review/Freeze、Workbench/Topology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Current-only 規則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Supplemental concept 不得反向覆蓋 GitHub Current Authority；任何新增設計若超出 Current Authority，必須以 Change Set / Authority Gap 明確標示，不能偽裝成現有功能。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2. Mother Basic Design Compliance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Mother Gate</w:t>
            </w:r>
          </w:p>
        </w:tc>
        <w:tc>
          <w:tcPr>
            <w:tcW w:type="dxa" w:w="578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必填內容</w:t>
            </w:r>
          </w:p>
        </w:tc>
        <w:tc>
          <w:tcPr>
            <w:tcW w:type="dxa" w:w="198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落點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S012 Requirement Gate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Scope / Goal / User / Functional &amp; Non-functional / Role / OOS / Glossary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S013 Architecture Gate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Module / Dependency / Navigation / User Flow / State / Data / FE-BE boundary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§4, §5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S015 Page Registry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 / Name / Route / Purpose / Permission / Owners / Visual &amp; Implementation Status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S016–S018 Design/Layout/Grid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Tokens / Header / Nav / Grid / Span / Responsive / Collapse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S020 Page Design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Sections / Components / Controls / Fields / Assets / Dimensions / States / i18n / Anchors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§6–§12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S021–S023 Section/Control/Field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UID / geometry / state / permission / action / data binding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§8–§10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S027–S033 Visual Governance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Manifest / Preview / Candidate / Anchor / Drift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§7, §13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S034–S037 Audit / Freeze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/ Acceptance / DoD / Freeze Package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§14–§16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S040C Functional Chain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Intent → Trigger → Gate → Permission → Action → API → Response → UI/Recovery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§5, §11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S040E Visual Geometry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width/height/grid/anchor/locked region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§6, §13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S071 Entity × Operation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Entity lifecycle applicability with explicit N/A evidence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S072 Workbench / Topology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Workbench Contract + Interaction Topology Matrix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3. Requirement 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項目</w:t>
            </w:r>
          </w:p>
        </w:tc>
        <w:tc>
          <w:tcPr>
            <w:tcW w:type="dxa" w:w="78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WB-01 定義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Project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Goal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Target User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Functional Requirement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Non-functional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Role / Permission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Account-permission assignment only；禁止 role-name authorization。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Out of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Glossary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4. Architecture / Page Registry / Entity × Operation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欄位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值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workspace:WB-01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Canonical Name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WB-01 / Dashboard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Display Name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儀表板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Owner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CompanyDashboardProjection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Layout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dashboard_shell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Permission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workspace.dashboard.view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Write Actions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Implementation Status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Current implementation exists; this document is redesign candidate only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 Status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VISUAL_CANDIDATE / PENDING HUMAN REVIEW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Business Entity Applicability（Mother S071）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Entity</w:t>
            </w:r>
          </w:p>
        </w:tc>
        <w:tc>
          <w:tcPr>
            <w:tcW w:type="dxa" w:w="272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Operation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Applicability</w:t>
            </w:r>
          </w:p>
        </w:tc>
        <w:tc>
          <w:tcPr>
            <w:tcW w:type="dxa" w:w="351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Authority Evidence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DISCOVER_OR_LIST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SELECT_OR_OPEN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CREATE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SAVE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VALIDATE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CONFIRM_OR_APPROVE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VERSION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LOCK_OR_UNLOCK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ARCHIVE_OR_DELETE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RESTORE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AUDIT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ERROR_RECOVERY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NEXT_STEP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5. Functional Workbench / Interaction Topology / Functional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Contract Item</w:t>
            </w:r>
          </w:p>
        </w:tc>
        <w:tc>
          <w:tcPr>
            <w:tcW w:type="dxa" w:w="76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Definition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Cluster UID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WB-01-FWC-DASHBOARD-READ-01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Business Journey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Workbench Class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Shared Context Identity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Required Operation Order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Adjacency Rule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Forbidden Interruptions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Responsive Reflow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僅依 Authority 的 1440 / 1280–1439 / &lt;1280 規則；不得重新定義 mobile workflow。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Interaction Topology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Seq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Operation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Surface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Context Continuity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GET /v1/dashboard/read-model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session + page + permission + scope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 → same registered read re-invocation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Render authorized 14 sections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read_model_version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→ hidden; missing → —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3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SECTION_OPEN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Card header trailing 查看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UID + same page context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 / ERROR preserves geometry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 projection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Right Drawer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schema + correlation_id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Close / Escape / backdrop; no new retry control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Next destination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Registered navigation only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explicit destination context handoff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external link / no invented route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Functional Chain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6F2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READ_ONLY Chain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6. Page Design System / Layout / Geometry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Token / Geometry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Current Definition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Dark purple enterprise AI production workstation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BG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#050816 / #080C20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#0C1026 / #111936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Primary Purple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#8B5CFF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Secondary Purple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#6E35FF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Highlight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#B38CFF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Header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58px fixed / full width / 0 radius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Sidebar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64px transparent hit rail collapsed; 221px overlay expanded; no workspace reflow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origin x=78px / y=68px / right=16px / bottom=16px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Grid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 columns / 16px gap / 16px content padding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Panel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12px radius / 16px padding / 40px header / 40px view control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Breakpoints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&gt;=1440 exact 6×KPI row; 1280–1439 3+3 KPI; &lt;1280 fixed min-width=1280 horizontal scroll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User-confirmed visual direction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本次視覺不改變 Current topology，只把既有 Global Visual 紫色 Token 完整落地：全寬頂部 Header、左側 Auto-collapse/overlay 導覽、工作區高資訊密度卡片。</w:t>
            </w:r>
          </w:p>
        </w:tc>
      </w:tr>
    </w:tbl>
    <w:p>
      <w:pPr>
        <w:sectPr>
          <w:footerReference w:type="default" r:id="rId13"/>
          <w:pgSz w:w="12240" w:h="15840"/>
          <w:pgMar w:top="794" w:right="850" w:bottom="737" w:left="85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 Actual UI Visual Candidate — Collapsed Main State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主畫面只顯示 9 個 canonical nav icons；221px expanded surface 不得同時存在。所有 business values 未取得 Current data 時顯示 — / 目前無資料。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A_COLLAPSED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WB01-VIS-CANDIDATE-A • 1920px reference viewport • Collapsed sidebar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7.1 Actual UI Visual Candidate — Expanded Navigation Overlay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Pointer enter / keyboard focusin 時才出現 221px overlay；workspace x=78px 不變，不縮排、不 reflow。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B_EXPANDED_OVER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WB01-VIS-CANDIDATE-B • Expanded overlay state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7.2 Actual UI Visual Candidate — Lower Workspace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向下捲動後仍保留 fixed Header / collapsed icon rail；資訊區與近期完成依 canonical row group 呈現。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C_SCROLL_L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WB01-VIS-CANDIDATE-C • Scroll continuation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7.3 Actual UI Visual Candidate — Drawer Interaction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每個 section 唯一觸發點為 Header 右側「查看」；Drawer 只呈現對應 render schema 與 read-model metadata，不暴露其他 department payload。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D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WB01-VIS-CANDIDATE-D • Section projection drawer</w:t>
      </w:r>
    </w:p>
    <w:p>
      <w:pPr>
        <w:sectPr>
          <w:footerReference w:type="default" r:id="rId14"/>
          <w:pgSz w:w="15840" w:h="12240" w:orient="landscape"/>
          <w:pgMar w:top="510" w:right="510" w:bottom="510" w:left="51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8. Section / Component / Geometry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75"/>
        <w:gridCol w:w="1775"/>
        <w:gridCol w:w="1775"/>
        <w:gridCol w:w="1775"/>
        <w:gridCol w:w="1775"/>
        <w:gridCol w:w="1775"/>
      </w:tblGrid>
      <w:tr>
        <w:tc>
          <w:tcPr>
            <w:tcW w:type="dxa" w:w="4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#</w:t>
            </w:r>
          </w:p>
        </w:tc>
        <w:tc>
          <w:tcPr>
            <w:tcW w:type="dxa" w:w="192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Component UID</w:t>
            </w:r>
          </w:p>
        </w:tc>
        <w:tc>
          <w:tcPr>
            <w:tcW w:type="dxa" w:w="147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Row Group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&gt;=1440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Height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WB-01-CMP-KPI-PROJECT-COUNT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WB-01-CMP-KPI-RUNNING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WB-01-CMP-KPI-PENDING-ACTION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WB-01-CMP-KPI-PENDING-REVIEW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5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WB-01-CMP-KPI-COMPLETED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6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WB-01-CMP-KPI-AVERAGE-PROGRESS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7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WB-01-CMP-PROJECT-PROGRESS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8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WB-01-CMP-COMPANY-PROGRESS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9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WB-01-CMP-PRODUCTION-SUMMARY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10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WB-01-CMP-NOTIFICATIONS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WB-01-CMP-ANNOUNCEMENTS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WB-01-CMP-INDUSTRY-NEWS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WB-01-CMP-SYSTEM-STATUS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WB-01-CMP-RECENT-COMPLETIONS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12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220px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7"/>
        </w:rPr>
        <w:t>Canonical order 不得因視覺方便重排；同 row group 的 visible authorized sections 左到右 pack，但不得跨 group 或拉伸填補 denied sibling。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9. Control / Field / Action / Gate / Permission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Section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Field UID</w:t>
            </w:r>
          </w:p>
        </w:tc>
        <w:tc>
          <w:tcPr>
            <w:tcW w:type="dxa" w:w="28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Control UID</w:t>
            </w:r>
          </w:p>
        </w:tc>
        <w:tc>
          <w:tcPr>
            <w:tcW w:type="dxa" w:w="23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Action / Operation</w:t>
            </w:r>
          </w:p>
        </w:tc>
        <w:tc>
          <w:tcPr>
            <w:tcW w:type="dxa" w:w="21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Permission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專案總數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執行中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FIELD-…COMPANY-RUNNING-PROJECT-COUNT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CTRL-…COMPANY-RUNNING-PROJECT-COUNT-OPEN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待處理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FIELD-…COMPANY-PENDING-ACTION-COUNT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CTRL-…COMPANY-PENDING-ACTION-COUNT-OPEN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待審查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FIELD-…COMPANY-PENDING-REVIEW-COUNT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CTRL-…COMPANY-PENDING-REVIEW-COUNT-OPEN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已完成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FIELD-…COMPANY-COMPLETED-PROJECT-COUNT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CTRL-…COMPANY-COMPLETED-PROJECT-COUNT-OPEN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平均進度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FIELD-…COMPANY-AVERAGE-PROGRESS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CTRL-…COMPANY-AVERAGE-PROGRESS-OPEN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專案進度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FIELD-…PROJECT-PROGRESS-OVERVIEW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CTRL-…PROJECT-PROGRESS-OVERVIEW-OPEN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公司整體進度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FIELD-…COMPANY-PROGRESS-SUMMARY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CTRL-…COMPANY-PROGRESS-SUMMARY-OPEN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生產總覽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FIELD-…PRODUCTION-SUMMARY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CTRL-…PRODUCTION-SUMMARY-OPEN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通知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FIELD-…NOTIFICATIONS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CTRL-…NOTIFICATIONS-OPEN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公司公告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FIELD-…COMPANY-ANNOUNCEMENTS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CTRL-…COMPANY-ANNOUNCEMENTS-OPEN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AI / 產業新聞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FIELD-…INDUSTRY-NEWS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CTRL-…INDUSTRY-NEWS-OPEN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系統狀態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FIELD-…SYSTEM-STATUS-SUMMARY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CTRL-…SYSTEM-STATUS-SUMMARY-OPEN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近期完成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FIELD-…RECENT-COMPLETIONS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CTRL-…RECENT-COMPLETIONS-OPEN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Control exactness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10. Data Binding / Render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Type</w:t>
            </w:r>
          </w:p>
        </w:tc>
        <w:tc>
          <w:tcPr>
            <w:tcW w:type="dxa" w:w="3969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Data Binding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Render Schema UID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company_project_count.company_project_count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company_running_project_count.company_running_project_count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WB-01-SCHEMA-KPI-INTEGER-02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company_pending_action_count.company_pending_action_count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company_pending_review_count.company_pending_review_count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company_completed_project_count.company_completed_project_count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WB-01-SCHEMA-KPI-INTEGER-05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percentage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company_average_progress.company_average_progress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WB-01-SCHEMA-KPI-PERCENT-01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project_progress_overview.project_progress_overview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WB-01-SCHEMA-PROJECT-TOPIC-TASK-01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company_progress_summary.company_progress_summary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WB-01-SCHEMA-COMPANY-PROGRESS-01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production_summary.production_summary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WB-01-SCHEMA-PRODUCTION-SUMMARY-01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notifications.notifications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WB-01-SCHEMA-NOTIFICATIONS-01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company_announcements.company_announcements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WB-01-SCHEMA-ANNOUNCEMENTS-01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industry_news.industry_news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WB-01-SCHEMA-INDUSTRY-NEWS-01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system_status_summary.system_status_summary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WB-01-SCHEMA-SYSTEM-STATUS-01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recent_completions.recent_completions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WB-01-SCHEMA-RECENT-COMPLETIONS-01</w:t>
            </w:r>
          </w:p>
        </w:tc>
      </w:tr>
    </w:tbl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Missing value = —；Loading 不得暫時顯示 0。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Project Progress：API response order only；Topic total_operation_time_seconds → HHH:MM:SS；null → —；不得 client-side 計算。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Production Summary：只顯示 company-level aggregate；不得顯示 provider/model/secret/job payload。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Industry News：沒有 registered external-navigation action，所以 row 不可直接開外部連結。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System Status：只顯示 overall_status / summary / checked_at；不得擴充 health percentage、provider health、finance 或 secret。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11. State / Recovery / Error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State</w:t>
            </w:r>
          </w:p>
        </w:tc>
        <w:tc>
          <w:tcPr>
            <w:tcW w:type="dxa" w:w="51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UI Behavior</w:t>
            </w:r>
          </w:p>
        </w:tc>
        <w:tc>
          <w:tcPr>
            <w:tcW w:type="dxa" w:w="385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card geometry skeleton；不顯示 fake value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 成功→READ_ONLY / EMPTY；失敗→ERROR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EMPTY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geometry；— / 目前無資料；無 mock rows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使用既有「查看」重新讀取或重新進入 page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geometry；顯示實際允許 reason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不得建立 Retry button；只能 re-invoke same SECTION_OPEN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POLICY_BLOCKED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= HIDDEN；可揭露 policy block 才顯示 reason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重新授權後重新進入 / registered read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VERSION_CONFLICT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stale/conflict read-only status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read control 再讀取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REVIEW_REQUIRED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只顯示後端返回的 review status/count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approve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EXTERNAL_PENDING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 Pending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local promote Completed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READ_ONLY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正常 loaded mode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無 write control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ARCHIVED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只有 read model 返回 Archived 才顯示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不得當 current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12. Function ↔ Visual Traceability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Visual Unit</w:t>
            </w:r>
          </w:p>
        </w:tc>
        <w:tc>
          <w:tcPr>
            <w:tcW w:type="dxa" w:w="408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Function</w:t>
            </w:r>
          </w:p>
        </w:tc>
        <w:tc>
          <w:tcPr>
            <w:tcW w:type="dxa" w:w="249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Geometry</w:t>
            </w:r>
          </w:p>
        </w:tc>
        <w:tc>
          <w:tcPr>
            <w:tcW w:type="dxa" w:w="294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Authority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Header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Shell: Notification / To-do / Running / Language / Surface Switch / Account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full-width fixed header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Collapsed Nav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9 L1 icons only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64px transparent interaction rail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Expanded Nav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9 L1 + labels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221px overlay, no reflow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KPI 1–6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 canonical read-only KPI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single row &gt;=1440; 3+3 at 1280–1439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layout + schema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Progress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Progress + Company Progress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7–8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Summary + Notifications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9–10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Information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Announcements + AI/Industry News + System Status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4/4/4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11–13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Completions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12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 14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projection only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520px right drawer default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+ WB-01 Drawer contract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13. Visual Anchors / Locked Regions /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Anchor UID</w:t>
            </w:r>
          </w:p>
        </w:tc>
        <w:tc>
          <w:tcPr>
            <w:tcW w:type="dxa" w:w="595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Position / Dimension Rule</w:t>
            </w:r>
          </w:p>
        </w:tc>
        <w:tc>
          <w:tcPr>
            <w:tcW w:type="dxa" w:w="1587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Lock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WB-01-ANCHOR-HEADER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top=0; h=58; width=100%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WB-01-ANCHOR-NAV-RAIL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left=0; top=58; collapsed hit rail=64; expanded overlay=221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WB-01-ANCHOR-WORKSPACE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x=78; y=68; right=16; bottom=16; no reflow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WB-01-ANCHOR-KPI-GROUP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first row group; 6×span2 &gt;=1440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WB-01-ANCHOR-PROGRESS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2; 8/4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WB-01-ANCHOR-PRODUCTION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3; 8/4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WB-01-ANCHOR-INFORMATION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4; 4/4/4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WB-01-ANCHOR-RECENT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5; span12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Visual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Field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Value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WB-01-GEN-20260920-TECHPURPLE-01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Version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DESIGN-CANDIDATE-2026-09-20.1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Reference Visual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WB-01 Authority / no candidate promoted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GLOBAL_WEB_VISUAL_SYSTEM_AUTHORITY@V1.0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Layout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dashboard_shell / Global Shell V1.9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Viewport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1920 reference; exact layout contracts &gt;=1440 / 1280–1439 / &lt;1280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Language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zh-TW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dark-purple / Current token set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Change Level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LEVEL_4_PAGE_REDESIGN visual candidate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 Areas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Editable Areas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Presentation micro-detail inside Current token + geometry boundaries only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14. Audit Baseline /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30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UID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Audit Item</w:t>
            </w:r>
          </w:p>
        </w:tc>
        <w:tc>
          <w:tcPr>
            <w:tcW w:type="dxa" w:w="629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PASS Condition</w:t>
            </w:r>
          </w:p>
        </w:tc>
        <w:tc>
          <w:tcPr>
            <w:tcW w:type="dxa" w:w="113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Req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Canonical Registry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Section + Field + Control exact identities; no add/delete/reorder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Component Binding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components resolved (14 cards + 1 drawer)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ACC-03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Binding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visuals + Global Visual inheritance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ACC-04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Render Schema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explicit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ACC-05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KPI Exactness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exactly six KPI; no correction rate / legacy mock KPI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ACC-06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Trigger Uniqueness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one Header trailing 查看 per section; body/rows non-clickable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ACC-07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Permission Semantics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denied=hidden; state disabled only for authorized control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ACC-08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 Geometry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1440 / 1280–1439 / &lt;1280 behavior exact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ACC-09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AI UI Inference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charts/icons/trends/polling/search/filter/pagination/external link additions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ACC-10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Real Data Only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missing=—; no sample/mock/fake business values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Global Shell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full-width 58px header + auto-collapse 64/221 nav; no page-local shell duplication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Review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Human review approves candidate or issues Change Set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15. Hard Prohibitions / Authority Gap Rules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Correction Rate KPI、Provider Health main card、System Health main KPI、Monthly Spend、Raw Cost Trend、素材總數/影片產出 legacy KPI。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Quick Create / Upload / Generate / Voice、搜尋、篩選、排序、分頁、Refresh、新 Retry、自動輪詢、timer。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line/bar/area/pie/donut/radar/sparkline、trend arrow、較上週/較上月等未註冊資訊。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fake KPI / project / topic / task / user / provider / version / status / time / date。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page-specific header/sidebar/nav、clickable card body、clickable rows、外部新聞連結、直接 provider call。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遇到 undefined field/control/chart/action/navigation：BLOCK + REPORT_AUTHORITY_GAP；不得自行補齊。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16. Visual Review / Design Freeze Status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Gate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Status</w:t>
            </w:r>
          </w:p>
        </w:tc>
        <w:tc>
          <w:tcPr>
            <w:tcW w:type="dxa" w:w="5216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Evidence / Next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Requirement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Authority + Mother Basic Design mapped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Page Registry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Page Authority resolved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 / Layout / Grid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V1.0 + Shell V1.9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Design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14 sections / 15 components / 14 controls / 14 fields mapped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Generation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 governed visual candidates generated in this Word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Review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 HUMAN REVIEW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User review required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Approval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VISUAL_APPROVED claim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§14 acceptance matrix established before implementation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Freeze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BLOCKED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Requires Visual Review + Visual Approval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EE8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Definition of Done for this Word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這份 Word 完成 = Mother Basic Design 所需規劃資訊齊全 + UI Visual Candidate 可供施工參考 + Render QA 無版面缺陷。這不等於網站已施工，也不等於 DESIGN_FROZEN。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8B5CFF"/>
          <w:sz w:val="26"/>
        </w:rPr>
        <w:t>DESIGN_FROZEN = FALSE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8"/>
        </w:rPr>
        <w:t>Visual Candidate UID：WB-01-VIS-CANDIDATE-TECHPURPLE-20260920-01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