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AIAPI-01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AI API 管理｜Mother Basic Design</w:t>
      </w:r>
    </w:p>
    <w:p>
      <w:pPr>
        <w:spacing w:after="160"/>
      </w:pPr>
      <w:r>
        <w:rPr>
          <w:rFonts w:ascii="Noto Sans CJK TC" w:hAnsi="Noto Sans CJK TC" w:eastAsia="Noto Sans CJK TC"/>
          <w:b/>
          <w:color w:val="5840A0"/>
          <w:sz w:val="20"/>
        </w:rPr>
        <w:t>Provider Governance · Credential Safety · Capability · Routing · Sandbox · Operations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 AI API 管理工作區。管理 Provider/Model Profile、Credential、Capability、Route/Test、Job/Cost/Incident；不建立第二套 Provider Registry、Secret Store、Router 或 AI Runtime。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頁面設計身份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admin:AIAPI-01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 API 管理 / AI API Management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Workspace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· 4 practical views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Default View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 / API 設定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Global Pattern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繼承既有 Global Shell / Global Visual；本頁不另造視覺系統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Missing Value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—；不得用 0 / Healthy / Success 補值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Boundary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前端管理面；既有 Provider / Compiler / Job / Secret owners 為唯一 backend owners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1. 產品目標與設計原則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把 Provider 設定、能力治理、路由測試、作業成本監控收斂在同一頁，避免操作人員在多個管理頁之間失去 Provider/Profile 上下文。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任何 Effectful 動作必須綁定已註冊 Operation、Permission、Gate 與 Runtime Owner；未知能力、Endpoint、價格、限制或 Provider 資料一律顯示 — 或 BLOCK。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Secret 僅允許寫入與狀態檢視，不提供明文回顯、匯出、日誌或 Audit Plaintext。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路由由能力、Rights、Data Classification、Health/Test、Budget/Policy 等硬條件決定；前端不得 Override。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所有 Provider-specific Prompt/Request 轉換只能改語法與欄位映射，不得改變 Canonical Instruction 的治理語意。</w:t>
      </w:r>
    </w:p>
    <w:p>
      <w:pPr>
        <w:pStyle w:val="Heading1"/>
        <w:spacing w:before="100" w:after="40"/>
      </w:pPr>
      <w:r>
        <w:t>2.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IN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OUT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BOUNDARY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3. Business Entity Inventory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+ Model + Adapter + Capability 的可執行設定版本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owner / AI API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CredentialReference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的 Secret Reference 與 Credential Status；不含明文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GovernedCapabilityResource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/ Policy / Enable 狀態與審批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可排序的候選 Profile 集合與 Route Limits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route config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一次 Route 可行性檢查結果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隔離的非 Production Provider 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command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實際選擇 Profile、理由、constraint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被隔離 Provider/Profile 與恢復原因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/ Attempt / Callback / Artifact / Error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Job/Queue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CostBudgetIncident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估算/實際成本、Budget、Degradation、Incident、Fallback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projection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InstructionCompileAudit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profile/template/adapter compile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compiler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4. Business Entity × Applicable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</w:tblGrid>
      <w:tr>
        <w:trPr>
          <w:tblHeader w:val="true"/>
        </w:trPr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List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Create/Run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Edit/Action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Retire/Delete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ProviderModelProfile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CredentialReference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Set/Delete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GovernedCapabilityResource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Disable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ProviderCandidateGroup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Bounded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RoutePreflight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SandboxTest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RouteDecision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Execute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QuarantineRecord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Restore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Confirm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ProviderJobAttempt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CostBudgetIncident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High-risk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InstructionCompileAudit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Profile-only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5"/>
        </w:rPr>
        <w:t>註：R = REQUIRED。Bounded 表示只有在已存在 Operation/Payload 的範圍內完成；沒有註冊 Post-create member mutation 時，不因 UI 對稱性自造 API。</w:t>
      </w:r>
    </w:p>
    <w:p>
      <w:pPr>
        <w:pStyle w:val="Heading1"/>
        <w:spacing w:before="100" w:after="40"/>
      </w:pPr>
      <w:r>
        <w:t>5. Entity Hierarchy / Lineage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上游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關聯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下游 /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CredentialReference；Secret 只以 Reference/Status 連結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↔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GovernedCapabilityResource；Route 需 exact capability match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ProviderCandidateGroup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Ordered Profile refs；不可用 latest/default alias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Canonical Instruction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RouteDecision；硬 Gate 未過不得 execute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ProviderJobAttempt；retry 形成獨立 Attempt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Callback / Artifact / Cost；Callback 未驗證不得成功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→ 1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Provider/Profile；Restore 需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6. Functional Admission &amp; Bounded Completion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候選功能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設計處理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Queue Readiness /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ADMIT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post-create member CRUD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BLOCK UNTIL EXACT OP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Model Picker in department pages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由 AIAPI Route Policy 自動解析；部門工作頁不得繞過。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API Key Reveal / Eye button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 write-only；只顯示 SET / NOT_SET / ROTATION_DUE / ERROR。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Frontend Route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Decision 為 Runtime owner；前端只顯示 constraint / reason。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Cost chart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CONDITIONAL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Manual health green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Health 為真實投影，不接受 UI 假綠燈。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7. Functional Workbench &amp; Interaction Topology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Atomic Workbench｜</w:t>
            </w:r>
            <w:r>
              <w:rPr>
                <w:rFonts w:ascii="Noto Sans CJK TC" w:hAnsi="Noto Sans CJK TC" w:eastAsia="Noto Sans CJK TC"/>
                <w:sz w:val="16"/>
              </w:rPr>
              <w:t>Provider / API 設定採 68% Profile Table + 32% Professional Description；選取 Profile 後保持同一 Context。Edit/Test/Credential 使用 Modal/Drawer，不把主要工作流切碎。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工作序列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List → Select → 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Provider/Profile Context；不能跳頁失去 selection。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Create/Edit Profile → Test → Credential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Effectful Modal 結束後回到同一選取列。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→ Preflight → Compile Audit → Sandbox →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Job/Attempt → Callback/Artifact/Cost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操作監控需保留 exact job/attempt lineage。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Audit / full error /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INDEPENDENT_SUPPORT_PANEL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低頻細節放 Drawer，避免干擾主工作流。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8. Four-View Information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主要內容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Primary CTA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總覽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Route / Capability / Job / Cost / Health / Incident 摘要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沒有假 KPI；若無 governed projection 就用狀態表。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API 設定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table、Professional Description、Credential、Capability、Test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路由 /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Group、Preflight、Compile Audit、Sandbox、Route Simulation、Quarantine、Queue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Execute 只有硬 Gate 全部 PASS 才可用。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作業 / 成本 / 事件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Job、Attempt、Callback、Artifact、Cost、Budget、Degradation、Incident、Fallback、Kill Switch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Kill Switch 永遠條件式高風險，不是常駐 Primary。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9. Page Geometry / Responsive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區域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Desktop Geometry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Responsive / Overflow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Header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全寬，約 58px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繼承 Global；本頁不重畫。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Collapsed Sidebar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約 64px icon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Expanded sidebar overlay；不得壓縮主 Workspace。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Page Context / Tabs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56px context + 52px secondary tab row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Tab 可橫向捲動但不另建 mobile page。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View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68% / Professional Panel 32%，gap 16px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窄寬時先保持 table 主體，右欄下沉為 drawer/stack。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Routing / Operations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route workbench + 28~32% operations rail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 detail 轉 drawer。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480–560px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不能遮住主要 CTA；Esc / Focus trap / Return focus 必須成立。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40px，touch target ≥44px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不得為塞欄位縮到不可用。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10. Canonical Section Specification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名稱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title / current view / selected provider-profile / current blockers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Navigator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tabs; preserve selection/query/draft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Real summary only; no fake charts/counters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&amp; Model Profiles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Search/table/profile CRUD/test/retire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decision support from registered metadata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&amp; 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 credential + governed capability/config/approval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Routing &amp;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group/preflight/compile audit/sandbox/route/quarantine/queue probe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Job/attempt/callback/artifact/cost/budget/degradation/incident/fallback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AIAPI-01-SEC-09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Rail / Detail Drawer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Blocker/readiness/audit/docs/error/version/correlation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AIAPI-01-SEC-10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Current-context legal actions only; max one dominant CTA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11. Component / Field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Fields / Content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Search/Table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Provider, Model, Capability, Adapter, Endpoint, Enabled, Credential Status, Last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Sticky header; long values ellipsis + drawer; row actions explicit.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Form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/ Connection / Adapter / Capability / Data-Context /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Read-only；unknown = —；不能編輯說明文字改 runtime。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Modal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ref + credential input / delete 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Write-only；never prefill / reveal.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Group, use_case, required capabilities, context size, classification, rights, refs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Preserve same route basis; no frontend override.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package, script ref, compiler version, route constraints, adapter diff, prompt template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Job, Attempt, Callback, Artifact, Cost, Error, Incident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 projections; retry preserves independent attempt.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12. Core Control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UX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新增 Provider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Modal；schema/gate/permission required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編輯 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updateProviderModelProfile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Expected version + audit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read-only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連線測試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ref + adapter required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退役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retireProviderModelProfile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 guarded; never hard delete runtime history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API 金鑰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setProviderModelCredential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Write-only; secret env/reference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刪除 API 金鑰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deleteProviderModelCredential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Reason/confirmation; no old value in response/log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Capability/Policy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configureGovernedResource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governed resource ref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核准 Capability/Policy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approveGovernedResource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 + rationale + audit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建立 Candidate 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Group + ordered member refs + limits only by exact schema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runSandboxTest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secret/output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執行 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executeProviderRoute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All hard gates + queue + approved capability/profile/secret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exact decision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restoreProviderFromQuarantine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 + audit; bypass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runProviderQueueProbe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Diagnostic only; no provider external call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setKillSwitch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High-risk confirmation +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13. Provider Profile Field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Constraint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provider_id, provider_name, model_id, model_name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profile identity；不得由 frontend 猜 alias。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Connection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base_url, endpoint_path, http_method, timeout_seconds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Endpoint guessing forbidden；method/path 依正式 profile。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adapter_type, request_template, response_text_path, prompt_template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capability_type, additional_capabilities, supports_references, rights_compatible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需 exact capability match；silent downgrade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/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data_classifications, preferred_language, max_context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hard gate；不得跨 domain 猜值。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enabled, profile version, health/test evidence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 受 capability/policy/server gate；Health 不可手動改綠。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14. Credential / Secret Security Contract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9F7F1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Secret Boundary｜</w:t>
            </w:r>
            <w:r>
              <w:rPr>
                <w:rFonts w:ascii="Noto Sans CJK TC" w:hAnsi="Noto Sans CJK TC" w:eastAsia="Noto Sans CJK TC"/>
                <w:sz w:val="16"/>
              </w:rPr>
              <w:t>API Key / Token 只可在 Credential write action 的 input buffer 短暫存在；成功後 UI 只保留 credential status / reference / version，不可再顯示明文。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必須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Eye / Reveal Button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只顯示 SET / NOT_SET / ROTATION_DUE / ERROR 等正式狀態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Export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Export projection 必須排除 credential plaintext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Log / Audit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Error payload 必須 redacted；不得包含 header/body secret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DB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只由既有 secret reference owner 保存 reference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Production Secret in Sandbox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Sandbox 使用隔離 credential/context；Production secret use = FORBIDDEN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15. Routing Gate &amp; Canonical Instruction Continuity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失敗行為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capability exact 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BLOCK；不得以較弱 capability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Reference-media support when required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或移除不合法 profile；不改任務需求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compatibility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compatibility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enabled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Health / Test 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/ Degraded route policy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Budget / Cost / policy gate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按正式 policy；不得為省成本改 Task Contract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/ runtime readiness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 ready 不執行外部 Provider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/>
          <w:color w:val="4D349D"/>
          <w:sz w:val="16"/>
        </w:rPr>
        <w:t>Fallback 必須使用同一份 Canonical Instruction 重新為目標 Provider/Profile compile；不得重用另一 Provider 的 compiled prompt。</w:t>
      </w:r>
    </w:p>
    <w:p>
      <w:pPr>
        <w:pStyle w:val="Heading1"/>
        <w:spacing w:before="100" w:after="40"/>
      </w:pPr>
      <w:r>
        <w:t>16. Route / Sandbox / Quarantine Flow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 / Output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核心規則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Eligible profile refs + ordered priority + registered limits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use_case / capability / context / data / rights / refs → eligibility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只驗證可路由性；不得產生 Provider 成功假象。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Prompt Template / Adapter Request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source hash / compiler / profile version / compiled hash。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Isolated payload → test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 use/output write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Execute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Validated route request → Route Decision + Job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route override forbidden。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/ Restore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state → audited restore request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requires reason；不繞過 health/policy gates。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17. Job / Attempt / Callback / Artifact / Cost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必要欄位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Truth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job_id, capability, profile, status, created, finished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不可寫 status。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attempt_id, provider, model, external_ref, retry,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每次 retry 是獨立 attempt，不覆蓋舊證據。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callback_status, verification, received_at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未驗證 callback 不得標 SUCCESS。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artifact_ref, version, provider_output_ref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overwrite 既有 asset/version。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estimated_cost, actual_cost, currency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未授權 → MASK / DENY；缺值不是 0。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severity, provider/model impact, status, correlation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必須可從 UI 追到 exact job/attempt/route context。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18. Functional Chain Contracts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Complete Chain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Profile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Credential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 Provider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 Route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19. Permission / Runtime / Data Binding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Contract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Entry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AI API provider profile owner only；不新增第二套 registry。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reference owner only；raw credential forbidden。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 / Budget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 projection；無 finance permission 時 mask/deny。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20. State / Error / Recovery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Error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Skeleton / preserve geometry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controls disabled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empty state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不得塞 sample Provider/Model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registered reason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不得新增 Override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write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Reload exact profile/resource and retry from fresh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不得轉成 success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Masked error code/reason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不得回傳 secret/header/body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mismatch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Exclude/block candidate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Not route eligible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only by exact audited operation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unavailable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external route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request context；retry 依正式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Unverified callback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Non-success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等待/重驗 callback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Partial composite failure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per-step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只重試尚未合法完成的 operation；不得報 COMPLETE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Undefined operation/field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不得臨時自造 API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21. Localization / Accessibility / Interaction States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Focus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Modal/Drawer 開啟後 focus trap；關閉時回到來源 control。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顏色 + 文字雙重表示；不能只靠綠/黃/紅。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State/policy blocked 可顯示原因；permission denied 依政策隱藏/deny。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22. Visual Anchor / Locked &amp; Editable Regions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Locked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可變內容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Global Shell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Header/Sidebar/Brand/visual tokens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僅 current page active state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views 順序與同頁切換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badge/real blockers 可動態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Workspace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68/32 primary topology、Profile selection continuity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 rows / filter / selected profile / modal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Panel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欄位順序與 read-only 性質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registered metadata / projections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Candidate→Preflight→Compile→Sandbox→Decision 邏輯順序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actual results / eligibility / reasons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Job/Cost/Incident canonical table-first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records / filters / detail drawer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一個 dominant CTA 上限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依 state/permission 切換合法 actions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23. Visual Preview — Provider / API 設定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1" name="Picture 1" descr="AIAPI-01 Provider/API 設定工作區設計示意：Profile table、Professional Description、Credential 與 Profile Editor。" title="AIAPI-01 Provider/API 設定工作區設計示意：Profile table、Professional Description、Credential 與 Profile Editor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PROVIDER_API_WORKBEN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設計意圖：選取 Profile 後不離開頁面；右側固定為 read-only 專業說明，Effectful CRUD/Test/Credential 走 Modal/Drawer。示意資料僅用於版面結構，不代表 Production Provider 狀態或價格。</w:t>
      </w:r>
    </w:p>
    <w:p>
      <w:pPr>
        <w:pStyle w:val="Heading1"/>
        <w:spacing w:before="100" w:after="40"/>
      </w:pPr>
      <w:r>
        <w:t>24. Visual Preview — Routing / Operations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2" name="Picture 2" descr="AIAPI-01 路由測試與作業監控設計示意：Candidate Group、Preflight、Compile、Sandbox、Route Decision、Queue、Incident。" title="AIAPI-01 路由測試與作業監控設計示意：Candidate Group、Preflight、Compile、Sandbox、Route Decision、Queue、Incident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ROUTING_OPERATIONS_WORKBEN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設計意圖：路由硬條件、Compile lineage、Sandbox 隔離、Quarantine/Queue/Incident 在同一 operational context 下可見；高風險 Restore / Kill Switch 維持條件式顯示。</w:t>
      </w:r>
    </w:p>
    <w:p>
      <w:pPr>
        <w:pStyle w:val="Heading1"/>
        <w:spacing w:before="100" w:after="40"/>
      </w:pPr>
      <w:r>
        <w:t>25. Validation Plan / 7-Pass Closure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驗證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 Authority / Naming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 Functional Completeness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 Interaction Topology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Security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 Runtime Binding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 Visual / Responsive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 Truth / Regression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26. Acceptance / Design Definition of Done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DoD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通過條件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admin:AIAPI-01；4 views 都在同一頁。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/ Get / List / Test / Retire 只走正式 operations。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/ Delete；raw secret never returned/rendered/logged/exported。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固定 decision-support panel；只讀 registered metadata/projections。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Governance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Enable 受 exact gate / version / audit。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&amp; Sandbox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Continuity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&amp; Cost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Duplicate System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無第二套 Provider Registry / Secret DB / Router / Job store。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UI Necessity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Runtime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27. Construction Mapping / Next Transition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施工層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必須落地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Command 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Server Runtime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QA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Release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Freeze Rule｜</w:t>
            </w:r>
            <w:r>
              <w:rPr>
                <w:rFonts w:ascii="Noto Sans CJK TC" w:hAnsi="Noto Sans CJK TC" w:eastAsia="Noto Sans CJK TC"/>
                <w:sz w:val="16"/>
              </w:rPr>
              <w:t>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  <w:trPr>
          <w:tblHeader/>
        </w:trPr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1218"/>
          </w:tcPr>
          <w:p>
            <w:r>
              <w:t>quality.criteria.configure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Resolved Governed Resource Canonical Owner / Governance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1218"/>
          </w:tcPr>
          <w:p>
            <w:r>
              <w:t>governance.approve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Resolved Governed Resource Canonical Owner / Approval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ACPOS-AI-03 Sandbox Evidence / Audit Lineage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ACPOS-AI-03 Operational Control State / Audit Lineage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13 · Action UID Applicability Ledger</w:t>
      </w:r>
    </w:p>
    <w:p>
      <w:r>
        <w:rPr>
          <w:b/>
        </w:rPr>
        <w:t xml:space="preserve">[ACPOS-20260921-BATCH-13-EXPLICIT-NA-ACTION-SEMANTICS-V1::PAGE::AIAPI-01] </w:t>
      </w:r>
      <w:r>
        <w:t>This ledger records applicability only. Product Control Registry rows remain unchanged; Action UID stays '—'. These rows MUST NOT be parsed as additional product controls.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8"/>
        <w:gridCol w:w="2208"/>
        <w:gridCol w:w="2208"/>
        <w:gridCol w:w="2208"/>
        <w:gridCol w:w="2208"/>
      </w:tblGrid>
      <w:tr>
        <w:trPr>
          <w:tblHeader w:val="true"/>
        </w:trPr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Current Cell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 Class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Required Handling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AIAPI-01-BTN-APPROVE-GOVERNED-RESOURCE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AIAPI-01-BTN-CONFIGURE-GOVERNED-RESOURCE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AIAPI-01-BTN-RUN-PROVIDER-QUEUE-PROBE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CTRL-ADMIN-AIAPI-05-PROVIDER-CANDIDATE-GROUPS-CREATE-GROUP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CTRL-ADMIN-AIAPI-05-PROVIDER-CANDIDATE-GROUPS-RESTORE-PROVIDER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CTRL-ADMIN-AIAPI-05-PROVIDER-CANDIDATE-GROUPS-VIEW-QUARANTINE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CTRL-ADMIN-AIAPI-06-PROVIDER-MODEL-PROFILES-CREATE-PROFILE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CTRL-ADMIN-AIAPI-06-PROVIDER-MODEL-PROFILES-DELETE-CREDENTIAL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CTRL-ADMIN-AIAPI-06-PROVIDER-MODEL-PROFILES-RETIRE-PROFILE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CTRL-ADMIN-AIAPI-06-PROVIDER-MODEL-PROFILES-SET-CREDENTIAL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CTRL-ADMIN-AIAPI-06-PROVIDER-MODEL-PROFILES-TEST-PROFILE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CTRL-ADMIN-AIAPI-06-PROVIDER-MODEL-PROFILES-UPDATE-PROFILE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CTRL-ADMIN-AIAPI-06-PROVIDER-MODEL-PROFILES-VIEW-PROFILE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CTRL-ADMIN-AIAPI-08-ROUTE-SIMULATION-EXECUTE-ROUTE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CTRL-ADMIN-AIAPI-08-ROUTE-SIMULATION-VIEW-ROUTE-DECISION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CTRL-ADMIN-AIAPI-09-ACT-02-ACT-KILL-SWITCH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9"/>
              </w:rPr>
              <w:t>DO_NOT_INVENT_ACTION_UID</w:t>
            </w:r>
          </w:p>
        </w:tc>
      </w:tr>
    </w:tbl>
    <w:p>
      <w:pPr>
        <w:sectPr>
          <w:pgSz w:w="11906" w:h="16838" w:orient="landscape"/>
          <w:pgMar w:top="490" w:right="432" w:bottom="490" w:left="432" w:header="283" w:footer="283" w:gutter="0"/>
          <w:cols w:space="720"/>
          <w:docGrid w:linePitch="360"/>
        </w:sectPr>
      </w:pPr>
    </w:p>
    <w:p>
      <w:pPr>
        <w:pStyle w:val="Heading1"/>
      </w:pPr>
      <w:r>
        <w:t>Batch 38 · AIAPI Persistence Binding Ledger</w:t>
      </w:r>
    </w:p>
    <w:p>
      <w:r>
        <w:rPr>
          <w:b/>
        </w:rPr>
        <w:t xml:space="preserve">[ACPOS-20260922-BATCH-38-SYSTEM03-PERSISTENCE-REMEDIATION-V1::PAGE::AIAPI-01] </w:t>
      </w:r>
      <w:r>
        <w:t>These four Persistence Owner bindings preserve existing Method/Path, Payload/Schema, Runtime Owner and Runtime Status. Governed-resource persistence remains with the exact resolved resource owner; sandbox and kill-switch evidence remain AI-03 operational/audit concerns. No Production execution claim is made.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400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configureGovernedResource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Governance Audit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The command configures an exact governed resource. AIAPI/IAM runtime must not steal domain persistence ownership; the exact resource owner persists state while governance audit preserves actor/correlation/version evidence.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approveGovernedResource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Approval Audit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Approval writes the governed resource's approved/version state under its canonical owner and preserves separate approver/rationale/audit evidence.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AIAPI-01-BTN-RUN-SANDBOX-TEST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ACPOS-AI-03 Sandbox Evidence / Audit Lineage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Sandbox may persist isolated test evidence and lineage only; Production secret/output writes and Production-pass claims remain forbidden.</w:t>
            </w:r>
          </w:p>
        </w:tc>
      </w:tr>
      <w:tr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ACPOS-AI-03 Operational Control State / Audit Lineage</w:t>
            </w:r>
          </w:p>
        </w:tc>
        <w:tc>
          <w:tcPr>
            <w:tcW w:type="dxa" w:w="4008"/>
          </w:tcPr>
          <w:p>
            <w:pPr>
              <w:spacing w:before="0" w:after="0"/>
            </w:pPr>
            <w:r>
              <w:rPr>
                <w:sz w:val="7"/>
              </w:rPr>
              <w:t>Kill switch is a server-side operational gate that dominates execution; state transition and authorized reason/correlation/audit evidence must remain reconstructable.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T5R11[—]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T5R11[High-risk]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T5R11[Governed]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CostBudgetIncident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T5R11[R]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T5R3[Delete]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T5R3[Set/Delete]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T5R3[R]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CredentialReference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T5R3[—]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T5R4[Disable]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T5R4[Approve]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T5R4[—]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T5R4[Configure]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GovernedCapabilityResource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T5R4[R]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Incident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T5R12[—]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T5R12[—]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T5R12[Runtime]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T5R12[Profile-only]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InstructionCompileAudit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T5R5[—]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T5R5[—]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T5R5[Create]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T5R5[Bounded]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ProviderCandidateGroup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T5R5[R]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T5R10[—]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T5R10[—]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T5R10[Runtime]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T5R10[Runtime]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ProviderJobAttempt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T5R10[R]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T5R2[Retire]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ProviderModelProfile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T5R2[R]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T5R9[—]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T5R9[Confirm]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T5R9[—]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T5R9[Restore]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QuarantineRecord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T5R9[R]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T5R8[Execute]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T5R8[—]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RouteDecision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T5R8[R]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T5R6[—]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RoutePreflight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T5R6[R]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T5R7[Run]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T5R7[—]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SandboxTest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T5R7[R]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System / Layout Closure｜設計系統與版面補齊</w:t>
      </w:r>
    </w:p>
    <w:p>
      <w:r>
        <w:t>[ACPOS-DESIGN-CLOSURE:AIAPI-01:DESIGN-SYSTEM]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Color Tokens</w:t>
            </w:r>
          </w:p>
        </w:tc>
        <w:tc>
          <w:tcPr>
            <w:tcW w:type="dxa" w:w="8016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8016"/>
          </w:tcPr>
          <w:p>
            <w:r>
              <w:t>Typography Tokens</w:t>
            </w:r>
          </w:p>
        </w:tc>
        <w:tc>
          <w:tcPr>
            <w:tcW w:type="dxa" w:w="8016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8016"/>
          </w:tcPr>
          <w:p>
            <w:r>
              <w:t>Spacing Tokens</w:t>
            </w:r>
          </w:p>
        </w:tc>
        <w:tc>
          <w:tcPr>
            <w:tcW w:type="dxa" w:w="8016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8016"/>
          </w:tcPr>
          <w:p>
            <w:r>
              <w:t>Component States</w:t>
            </w:r>
          </w:p>
        </w:tc>
        <w:tc>
          <w:tcPr>
            <w:tcW w:type="dxa" w:w="8016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8016"/>
          </w:tcPr>
          <w:p>
            <w:r>
              <w:t>Primary Layout</w:t>
            </w:r>
          </w:p>
        </w:tc>
        <w:tc>
          <w:tcPr>
            <w:tcW w:type="dxa" w:w="8016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8016"/>
          </w:tcPr>
          <w:p>
            <w:r>
              <w:t>Navigation Region</w:t>
            </w:r>
          </w:p>
        </w:tc>
        <w:tc>
          <w:tcPr>
            <w:tcW w:type="dxa" w:w="8016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8016"/>
          </w:tcPr>
          <w:p>
            <w:r>
              <w:t>Responsive Behavior</w:t>
            </w:r>
          </w:p>
        </w:tc>
        <w:tc>
          <w:tcPr>
            <w:tcW w:type="dxa" w:w="8016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8016"/>
          </w:tcPr>
          <w:p>
            <w:r>
              <w:t>Design Ownership</w:t>
            </w:r>
          </w:p>
        </w:tc>
        <w:tc>
          <w:tcPr>
            <w:tcW w:type="dxa" w:w="8016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[ACPOS-DESIGN-CLOSURE:AIAPI-01:GEOMETRY]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Viewport / Breakpoint UID</w:t>
            </w:r>
          </w:p>
        </w:tc>
        <w:tc>
          <w:tcPr>
            <w:tcW w:type="dxa" w:w="80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6"/>
          </w:tcPr>
          <w:p>
            <w:r>
              <w:t>Container Width / Min / Max</w:t>
            </w:r>
          </w:p>
        </w:tc>
        <w:tc>
          <w:tcPr>
            <w:tcW w:type="dxa" w:w="80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6"/>
          </w:tcPr>
          <w:p>
            <w:r>
              <w:t>Grid Columns / Span / Gutter / Outer Margin</w:t>
            </w:r>
          </w:p>
        </w:tc>
        <w:tc>
          <w:tcPr>
            <w:tcW w:type="dxa" w:w="80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6"/>
          </w:tcPr>
          <w:p>
            <w:r>
              <w:t>Section Bounding Rules</w:t>
            </w:r>
          </w:p>
        </w:tc>
        <w:tc>
          <w:tcPr>
            <w:tcW w:type="dxa" w:w="80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6"/>
          </w:tcPr>
          <w:p>
            <w:r>
              <w:t>Component / Control / Field Width / Height Rules</w:t>
            </w:r>
          </w:p>
        </w:tc>
        <w:tc>
          <w:tcPr>
            <w:tcW w:type="dxa" w:w="80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6"/>
          </w:tcPr>
          <w:p>
            <w:r>
              <w:t>Min / Max Width / Height</w:t>
            </w:r>
          </w:p>
        </w:tc>
        <w:tc>
          <w:tcPr>
            <w:tcW w:type="dxa" w:w="80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6"/>
          </w:tcPr>
          <w:p>
            <w:r>
              <w:t>Gap / Padding / Alignment</w:t>
            </w:r>
          </w:p>
        </w:tc>
        <w:tc>
          <w:tcPr>
            <w:tcW w:type="dxa" w:w="80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6"/>
          </w:tcPr>
          <w:p>
            <w:r>
              <w:t>Aspect Ratio</w:t>
            </w:r>
          </w:p>
        </w:tc>
        <w:tc>
          <w:tcPr>
            <w:tcW w:type="dxa" w:w="80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6"/>
          </w:tcPr>
          <w:p>
            <w:r>
              <w:t>Overflow / Scroll Rule</w:t>
            </w:r>
          </w:p>
        </w:tc>
        <w:tc>
          <w:tcPr>
            <w:tcW w:type="dxa" w:w="80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6"/>
          </w:tcPr>
          <w:p>
            <w:r>
              <w:t>Collapse / Stack / Wrap Rule</w:t>
            </w:r>
          </w:p>
        </w:tc>
        <w:tc>
          <w:tcPr>
            <w:tcW w:type="dxa" w:w="80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6"/>
          </w:tcPr>
          <w:p>
            <w:r>
              <w:t>Z-order / Overlay Rule</w:t>
            </w:r>
          </w:p>
        </w:tc>
        <w:tc>
          <w:tcPr>
            <w:tcW w:type="dxa" w:w="80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6"/>
          </w:tcPr>
          <w:p>
            <w:r>
              <w:t>Text Capacity / Truncation / Wrap Rule</w:t>
            </w:r>
          </w:p>
        </w:tc>
        <w:tc>
          <w:tcPr>
            <w:tcW w:type="dxa" w:w="80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6"/>
          </w:tcPr>
          <w:p>
            <w:r>
              <w:t>Asset Object-fit / Object-position</w:t>
            </w:r>
          </w:p>
        </w:tc>
        <w:tc>
          <w:tcPr>
            <w:tcW w:type="dxa" w:w="80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6"/>
          </w:tcPr>
          <w:p>
            <w:r>
              <w:t>Locked Visual Anchors</w:t>
            </w:r>
          </w:p>
        </w:tc>
        <w:tc>
          <w:tcPr>
            <w:tcW w:type="dxa" w:w="80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6"/>
          </w:tcPr>
          <w:p>
            <w:r>
              <w:t>Allowed Tolerance / Diff Threshold</w:t>
            </w:r>
          </w:p>
        </w:tc>
        <w:tc>
          <w:tcPr>
            <w:tcW w:type="dxa" w:w="80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6"/>
          </w:tcPr>
          <w:p>
            <w:r>
              <w:t>Geometry Failure Set</w:t>
            </w:r>
          </w:p>
        </w:tc>
        <w:tc>
          <w:tcPr>
            <w:tcW w:type="dxa" w:w="80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[ACPOS-DESIGN-CLOSURE:AIAPI-01:VISUAL]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c>
          <w:tcPr>
            <w:tcW w:type="dxa" w:w="3206"/>
          </w:tcPr>
          <w:p>
            <w:r>
              <w:t>Anchor UID</w:t>
            </w:r>
          </w:p>
        </w:tc>
        <w:tc>
          <w:tcPr>
            <w:tcW w:type="dxa" w:w="3206"/>
          </w:tcPr>
          <w:p>
            <w:r>
              <w:t>Position Rule</w:t>
            </w:r>
          </w:p>
        </w:tc>
        <w:tc>
          <w:tcPr>
            <w:tcW w:type="dxa" w:w="3206"/>
          </w:tcPr>
          <w:p>
            <w:r>
              <w:t>Dimension Rule</w:t>
            </w:r>
          </w:p>
        </w:tc>
        <w:tc>
          <w:tcPr>
            <w:tcW w:type="dxa" w:w="3206"/>
          </w:tcPr>
          <w:p>
            <w:r>
              <w:t>Relationship Rule</w:t>
            </w:r>
          </w:p>
        </w:tc>
        <w:tc>
          <w:tcPr>
            <w:tcW w:type="dxa" w:w="3206"/>
          </w:tcPr>
          <w:p>
            <w:r>
              <w:t>Lock Status</w:t>
            </w:r>
          </w:p>
        </w:tc>
      </w:tr>
      <w:tr>
        <w:tc>
          <w:tcPr>
            <w:tcW w:type="dxa" w:w="3206"/>
          </w:tcPr>
          <w:p>
            <w:r>
              <w:t>AIAPI-01-VA-HEADER</w:t>
            </w:r>
          </w:p>
        </w:tc>
        <w:tc>
          <w:tcPr>
            <w:tcW w:type="dxa" w:w="3206"/>
          </w:tcPr>
          <w:p>
            <w:r>
              <w:t>Fixed at top of shared shell</w:t>
            </w:r>
          </w:p>
        </w:tc>
        <w:tc>
          <w:tcPr>
            <w:tcW w:type="dxa" w:w="3206"/>
          </w:tcPr>
          <w:p>
            <w:r>
              <w:t>58px full-width according to current shell authority</w:t>
            </w:r>
          </w:p>
        </w:tc>
        <w:tc>
          <w:tcPr>
            <w:tcW w:type="dxa" w:w="3206"/>
          </w:tcPr>
          <w:p>
            <w:r>
              <w:t>Above Sidebar/Workspace; must not be covered by page content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AIAPI-01-VA-SIDEBAR</w:t>
            </w:r>
          </w:p>
        </w:tc>
        <w:tc>
          <w:tcPr>
            <w:tcW w:type="dxa" w:w="3206"/>
          </w:tcPr>
          <w:p>
            <w:r>
              <w:t>Fixed left rail under shared shell header</w:t>
            </w:r>
          </w:p>
        </w:tc>
        <w:tc>
          <w:tcPr>
            <w:tcW w:type="dxa" w:w="3206"/>
          </w:tcPr>
          <w:p>
            <w:r>
              <w:t>64px resting; 221px overlay expansion where current shell defines it</w:t>
            </w:r>
          </w:p>
        </w:tc>
        <w:tc>
          <w:tcPr>
            <w:tcW w:type="dxa" w:w="320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AIAPI-01-VA-WORKSPACE</w:t>
            </w:r>
          </w:p>
        </w:tc>
        <w:tc>
          <w:tcPr>
            <w:tcW w:type="dxa" w:w="3206"/>
          </w:tcPr>
          <w:p>
            <w:r>
              <w:t>Current page primary content region below Header / beside resting rail</w:t>
            </w:r>
          </w:p>
        </w:tc>
        <w:tc>
          <w:tcPr>
            <w:tcW w:type="dxa" w:w="3206"/>
          </w:tcPr>
          <w:p>
            <w:r>
              <w:t>Use this Word's existing Primary Grid / section dimensions</w:t>
            </w:r>
          </w:p>
        </w:tc>
        <w:tc>
          <w:tcPr>
            <w:tcW w:type="dxa" w:w="320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20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[ACPOS-DESIGN-CLOSURE:AIAPI-01:VISUAL-CONTRACT]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8016"/>
          </w:tcPr>
          <w:p>
            <w:r>
              <w:t>Visual Candidate UID</w:t>
            </w:r>
          </w:p>
        </w:tc>
        <w:tc>
          <w:tcPr>
            <w:tcW w:type="dxa" w:w="80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8016"/>
          </w:tcPr>
          <w:p>
            <w:r>
              <w:t>Visual Preview</w:t>
            </w:r>
          </w:p>
        </w:tc>
        <w:tc>
          <w:tcPr>
            <w:tcW w:type="dxa" w:w="80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8016"/>
          </w:tcPr>
          <w:p>
            <w:r>
              <w:t>Visual Review</w:t>
            </w:r>
          </w:p>
        </w:tc>
        <w:tc>
          <w:tcPr>
            <w:tcW w:type="dxa" w:w="80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8016"/>
          </w:tcPr>
          <w:p>
            <w:r>
              <w:t>Approval Status</w:t>
            </w:r>
          </w:p>
        </w:tc>
        <w:tc>
          <w:tcPr>
            <w:tcW w:type="dxa" w:w="80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8016"/>
          </w:tcPr>
          <w:p>
            <w:r>
              <w:t>Change Set / Drift</w:t>
            </w:r>
          </w:p>
        </w:tc>
        <w:tc>
          <w:tcPr>
            <w:tcW w:type="dxa" w:w="80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[ACPOS-DESIGN-CLOSURE:AIAPI-01:ASSET]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Page-local Asset Registry Applicability</w:t>
            </w:r>
          </w:p>
        </w:tc>
        <w:tc>
          <w:tcPr>
            <w:tcW w:type="dxa" w:w="8016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8016"/>
          </w:tcPr>
          <w:p>
            <w:r>
              <w:t>Shared Shell Assets</w:t>
            </w:r>
          </w:p>
        </w:tc>
        <w:tc>
          <w:tcPr>
            <w:tcW w:type="dxa" w:w="8016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8016"/>
          </w:tcPr>
          <w:p>
            <w:r>
              <w:t>Dynamic Business Content</w:t>
            </w:r>
          </w:p>
        </w:tc>
        <w:tc>
          <w:tcPr>
            <w:tcW w:type="dxa" w:w="8016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8016"/>
          </w:tcPr>
          <w:p>
            <w:r>
              <w:t>Binding Contract</w:t>
            </w:r>
          </w:p>
        </w:tc>
        <w:tc>
          <w:tcPr>
            <w:tcW w:type="dxa" w:w="8016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8016"/>
          </w:tcPr>
          <w:p>
            <w:r>
              <w:t>Modification Rule</w:t>
            </w:r>
          </w:p>
        </w:tc>
        <w:tc>
          <w:tcPr>
            <w:tcW w:type="dxa" w:w="8016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8016"/>
          </w:tcPr>
          <w:p>
            <w:r>
              <w:t>N/A Authority</w:t>
            </w:r>
          </w:p>
        </w:tc>
        <w:tc>
          <w:tcPr>
            <w:tcW w:type="dxa" w:w="8016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AIAPI-01 AI API 管理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AIAPI-01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