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CreateERPConnectorRequest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UpdateERPConnectorRequest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t>ExportERPProjectionRequest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t>Existing Projection/Export Owner / ERP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ValidateERPMappingRequest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Mapping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RefreshERPSnapshotRequest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Snapshot + Freshness/Audit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CreateERPSyncJobRequest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RetryERPSyncRequest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Attempt + Failure/Audit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15 · ERP Read Projection Binding / Applicability Ledger</w:t>
      </w:r>
    </w:p>
    <w:p>
      <w:r>
        <w:rPr>
          <w:b/>
        </w:rPr>
        <w:t xml:space="preserve">[ACPOS-20260921-BATCH-15-OWNER-SPECIFIC-READ-PROJECTION-CLOSURE-V1::PAGE::ERP-01] </w:t>
      </w:r>
      <w:r>
        <w:t>Fourteen Runtime Owner cells are bound in the existing product registry; twenty READONLY field Operation cells remain '—' by explicit non-applicability. No API route or per-field Operation is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Group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ERP-01-FLD-CONN-ADAPTER-KEY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ERP-01-FLD-CONN-CONNECTION-STATUS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ERP-01-FLD-CONN-CONNECTOR-ID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ERP-01-FLD-CONN-ENTITY-SCOPE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ERP-01-FLD-CONN-MAPPING-VERSION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ERP-01-FLD-CONN-PROVIDER-KEY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ERP-01-FLD-CONN-SECRET-REFERENCE-ID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ERP-01-FLD-FIN-CAPACITY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ERP-01-FLD-FIN-CASHFLOW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ERP-01-FLD-FIN-COST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ERP-01-FLD-FIN-FORECAST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ERP-01-FLD-FIN-GUARDRAILS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ERP-01-FLD-FIN-RECOMMENDATION-BOUNDARY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ERP-01-FLD-FIN-REVENUE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ERP-01-FLD-SYNC-COMPLETENESS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ERP-01-FLD-SYNC-CURRENCY-TIMEZONE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ERP-01-FLD-SYNC-FAILURE-ID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ERP-01-FLD-SYNC-FRESHNESS-AT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ERP-01-FLD-SYNC-LAST-SYNC-STATUS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ERP-01-FLD-SYNC-SNAPSHOT-ID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ERP-01 Connector / Sync Contract Binding Ledger</w:t>
      </w:r>
    </w:p>
    <w:p>
      <w:r>
        <w:rPr>
          <w:b/>
        </w:rPr>
        <w:t xml:space="preserve">[ACPOS-20260922-BATCH-49-SYSTEM06-ENTERPRISE-ERP-CONTRACT-REMEDIATION-V1::PAGE::ERP-01]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Connector configuration persists provider/adapter/entity scope/mapping/secret-reference metadata only. Raw secret plaintext must remain outside this persistence boundary.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ERP-01-BTN-CONNECTOR-UPDATE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 changes exact connector configuration/version with audit. Secret material remains referenced, not copied into Word/log/audit payload.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persists bounded connectivity/schema/capability evidence for an exact connector/version; a pass is not equivalent to Production business-data correctness.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ExportERPProjectionRequest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ERP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 export persists derived projection/export artifact and audit only; ERP/Finance remains financial truth and export cannot mutate accounting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ERP-01-BTN-MAPPING-VALIDATE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Mapping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Mapping validation records exact mapping-version/entity-scope result/evidence without silently changing canonical financial data.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ERP-01-BTN-SNAPSHOT-REFRESH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Snapshot + Freshness/Audit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Snapshot refresh persists immutable snapshot identity/freshness/completeness lineage sourced from the connector; it does not fabricate finance values.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Sync job persists exact connector/mapping/scope/snapshot target and idempotency/audit metadata. Job creation is not sync completion.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ERP-01-BTN-SYNC-RETRY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Attempt + Failure/Audit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 binds the failed sync job/failure/version and creates auditable retry-attempt lineage; prior failure evidence must not be erased.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T3R4[Validate Mapping]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T3R6[Create / Get Status / Retry]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[ACPOS-DESIGN-CLOSURE:ERP-01:GEOMETRY]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[ACPOS-DESIGN-CLOSURE:ERP-01:VISUAL]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ERP-01-VA-HEADER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ERP-01-VA-SIDEBAR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ERP-01-VA-WORKSPACE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[ACPOS-DESIGN-CLOSURE:ERP-01:VISUAL-CONTRACT]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[ACPOS-DESIGN-CLOSURE:ERP-01:ASSET]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Page-local Asset Registry Applicability</w:t>
            </w:r>
          </w:p>
        </w:tc>
        <w:tc>
          <w:tcPr>
            <w:tcW w:type="dxa" w:w="80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8016"/>
          </w:tcPr>
          <w:p>
            <w:r>
              <w:t>Shared Shell Assets</w:t>
            </w:r>
          </w:p>
        </w:tc>
        <w:tc>
          <w:tcPr>
            <w:tcW w:type="dxa" w:w="80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8016"/>
          </w:tcPr>
          <w:p>
            <w:r>
              <w:t>Dynamic Business Content</w:t>
            </w:r>
          </w:p>
        </w:tc>
        <w:tc>
          <w:tcPr>
            <w:tcW w:type="dxa" w:w="80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8016"/>
          </w:tcPr>
          <w:p>
            <w:r>
              <w:t>Binding Contract</w:t>
            </w:r>
          </w:p>
        </w:tc>
        <w:tc>
          <w:tcPr>
            <w:tcW w:type="dxa" w:w="80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8016"/>
          </w:tcPr>
          <w:p>
            <w:r>
              <w:t>Modification Rule</w:t>
            </w:r>
          </w:p>
        </w:tc>
        <w:tc>
          <w:tcPr>
            <w:tcW w:type="dxa" w:w="80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8016"/>
          </w:tcPr>
          <w:p>
            <w:r>
              <w:t>N/A Authority</w:t>
            </w:r>
          </w:p>
        </w:tc>
        <w:tc>
          <w:tcPr>
            <w:tcW w:type="dxa" w:w="80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