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t>StartAutoTopicQaReviewRequest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t>POST /v1/qa/reviews/auto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AutoQAReviewCase + QAScorecard + Evaluation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t>CreateCorrectionRequestPayload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SetQAEvidenceRangeInCommand</w:t>
            </w:r>
          </w:p>
        </w:tc>
        <w:tc>
          <w:tcPr>
            <w:tcW w:type="dxa" w:w="1141"/>
          </w:tcPr>
          <w:p>
            <w:r>
              <w:t>setQAEvidenceRangeIn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SetQAEvidenceRangeOutCommand</w:t>
            </w:r>
          </w:p>
        </w:tc>
        <w:tc>
          <w:tcPr>
            <w:tcW w:type="dxa" w:w="1141"/>
          </w:tcPr>
          <w:p>
            <w:r>
              <w:t>setQAEvidenceRangeOut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CreateFindingRequest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SetQAFindingPointCommand</w:t>
            </w:r>
          </w:p>
        </w:tc>
        <w:tc>
          <w:tcPr>
            <w:tcW w:type="dxa" w:w="1141"/>
          </w:tcPr>
          <w:p>
            <w:r>
              <w:t>setQAFindingPoint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ModifyManualReviewRequest</w:t>
            </w:r>
          </w:p>
        </w:tc>
        <w:tc>
          <w:tcPr>
            <w:tcW w:type="dxa" w:w="1141"/>
          </w:tcPr>
          <w:p>
            <w:r>
              <w:t>modifyManualReview</w:t>
            </w:r>
          </w:p>
        </w:tc>
        <w:tc>
          <w:tcPr>
            <w:tcW w:type="dxa" w:w="1141"/>
          </w:tcPr>
          <w:p>
            <w:r>
              <w:t>POST /v1/qa/manual-reviews/{reviewCaseId}/modify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PassManualReviewRequest</w:t>
            </w:r>
          </w:p>
        </w:tc>
        <w:tc>
          <w:tcPr>
            <w:tcW w:type="dxa" w:w="1141"/>
          </w:tcPr>
          <w:p>
            <w:r>
              <w:t>passManualReview</w:t>
            </w:r>
          </w:p>
        </w:tc>
        <w:tc>
          <w:tcPr>
            <w:tcW w:type="dxa" w:w="1141"/>
          </w:tcPr>
          <w:p>
            <w:r>
              <w:t>POST /v1/qa/manual-reviews/{reviewCaseId}/pass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t>StartQaRecheckRequest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t>POST /v1/qa/reviews/{reviewId}/rechecks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QARecheckCase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t>CreateReleaseCandidateRequest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t>POST /v1/qa/release-candidates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t>ReleaseService / ReleaseCandidate + Provenance/Audit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StartQaReviewRequest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t>POST /v1/qa/reviews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QAReviewCase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QA-01 Concrete Review Item Display / 實際審查項目顯示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QA-01 Scorecard Row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Column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Order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沿 approved profile 固定排序；不可 frontend 自排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UID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Exact UID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審查項目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顯示具體中文名稱，例如 人物／角色一致性、幀間連續性、嘴型／口型同步、字幕內容、字幕時間／可讀性、音訊品質、構圖等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Profile-bound；當前適用 rows 總和必須 =100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System/AI 0–100；人工不可直接輸入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Weighted 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score×weight/100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Status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PASS / FINDING / HARD_BLOCK / N/A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是/否；任何 Hard Block FAIL 覆蓋 total score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Evidence Refs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Viewer exact frame/time/range/output/checksum/provenance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Count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該 dimension 的 open/closed findings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UI behavior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header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Profile UID、Criteria Version、Policy Version、Department、Artifact Type、Threshold=95、Approval status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 rows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QA-01-LIST-SCORE-DIMENSIONS 必須逐項 render approved criteria rows；不得只顯示 Dimension count/JSON blob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Row click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聚焦 Exact Output Viewer 對應 Evidence/frame/time/range；不修改上游輸出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Missing Criteria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 QA scoring；顯示 QA-01-ERR-CRITERIA-001；禁止空 Scorecard 或 generic fallback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固定列出 10 個 canonical checks 與 Evidence / PASS/BLOCK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Category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必須從 canonical issue categories 選；缺 category = BLOCK + REPORT_AUTHORITY_GAP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仍只有 MODIFY / PASS；不新增人工 score input；Manual PASS 不能繞過 QA Gate</w:t>
            </w:r>
          </w:p>
        </w:tc>
      </w:tr>
    </w:tbl>
    <w:p>
      <w:pPr>
        <w:sectPr>
          <w:pgSz w:w="12240" w:h="158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[ACPOS-20260921-BATCH-16-OPERATION-OWNER-CONTRACT-CLOSURE-V1::PAGE::QA-01]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rPr>
          <w:tblHeader w:val="true"/>
        </w:trPr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QA-01-BTN-FINDING-POINT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setQAFindingPoint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[ACPOS-20260922-BATCH-32-OPERATION-PLACEHOLDER-REMEDIATION-V1::PAGE::QA-01]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QA-01-BTN-MANUAL-MODIFY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modifyManualReview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QA-01-BTN-MANUAL-PASS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passManualReview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54 · QA-01 Contract Binding Ledger</w:t>
      </w:r>
    </w:p>
    <w:p>
      <w:r>
        <w:t>[ACPOS-20260922-BATCH-54-QA-CONTRACT-REMEDIATION-V1::PAGE::QA-01] QA contracts preserve exact source/version/criteria/evidence boundaries. Machine score cannot bypass manual review. ReleaseCandidate is not published truth. CLIENT/QA evidence-point/range mutations are LOCAL LOCAL session-draft operations and do not fabricate server APIs or canonical Findings.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QA-01-BTN-START-REVIEW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QAReviewCase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Starts QA only from ExactOutputVersion + QAValidationScriptView + approved CriteriaVersion/QualityGatePolicy + Evidence + Rights/Policy + checksum/provenance. Missing required criterion/evidence is BLOCK.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Finding must bind owning domain, exact source version, evidence, severity and expected correction; route/persistence are existing Current authority.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QA-01-BTN-CORRECTION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/v1/correction-requests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CreateCorrectionRequestPayload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public.correction_requests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CorrectionRequest routes to the original canonical owner with exact source + required delta/evidence. QA does not directly edit upstream output.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/v1/qa/reviews/{reviewId}/rechecks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StartQaRecheckRequest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QARecheckCase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Recheck is only against a new exact corrected version; historical PASS cannot close a finding on a newer revision.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QA-01-BTN-RELEASE-CREATE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createReleasePackage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/v1/qa/release-candidates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CreateReleaseCandidateRequest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ReleaseService / ReleaseCandidate + Provenance/Audit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Creates ReleaseCandidate only from exact QA PASS/version/checksum/provenance. ReleaseCandidate is not published/released-to-channel truth.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QA-01-BTN-AUTO-START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/v1/qa/reviews/auto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AutoQAReviewCase + QAScorecard + Evaluation Evidence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AUTO review evaluates exact output against approved criteria/evidence. Machine score cannot bypass required manual review or auto-release.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evidence marker mutation. It records a local draft point bound to the current exact output; it does not create a Finding until the governed Finding create command is submitted.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range-start capture. No server API or canonical QA decision is implied.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range-end capture. Range remains a draft until bound into a governed Finding/evidence submission.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Modifies the exact manual review case under an authorized reviewer. Required manual review cannot be bypassed; unresolved case/reviewer/state fails closed.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Records authorized manual-review PASS for exact case/output/version. Machine score alone is insufficient and cannot substitute reviewer evidence.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Page Registry Identity Closure｜頁面識別補齊</w:t>
      </w:r>
    </w:p>
    <w:p>
      <w:r>
        <w:t>[ACPOS-DESIGN-CLOSURE:QA-01:PAGE-IDENTITY]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Page UID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Canonical Name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Display Name</w:t>
            </w:r>
          </w:p>
        </w:tc>
        <w:tc>
          <w:tcPr>
            <w:tcW w:type="dxa" w:w="7517"/>
          </w:tcPr>
          <w:p>
            <w:r>
              <w:t>QA 審查工作區</w:t>
            </w:r>
          </w:p>
        </w:tc>
      </w:tr>
      <w:tr>
        <w:tc>
          <w:tcPr>
            <w:tcW w:type="dxa" w:w="7517"/>
          </w:tcPr>
          <w:p>
            <w:r>
              <w:t>Route</w:t>
            </w:r>
          </w:p>
        </w:tc>
        <w:tc>
          <w:tcPr>
            <w:tcW w:type="dxa" w:w="7517"/>
          </w:tcPr>
          <w:p>
            <w: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c>
          <w:tcPr>
            <w:tcW w:type="dxa" w:w="7517"/>
          </w:tcPr>
          <w:p>
            <w:r>
              <w:t>Module UID</w:t>
            </w:r>
          </w:p>
        </w:tc>
        <w:tc>
          <w:tcPr>
            <w:tcW w:type="dxa" w:w="7517"/>
          </w:tcPr>
          <w:p>
            <w:r>
              <w:t>REFERENCE_ONLY → current Index / Global Navigation module mapping for this Page UID.</w:t>
            </w:r>
          </w:p>
        </w:tc>
      </w:tr>
      <w:tr>
        <w:tc>
          <w:tcPr>
            <w:tcW w:type="dxa" w:w="7517"/>
          </w:tcPr>
          <w:p>
            <w:r>
              <w:t>Purpose</w:t>
            </w:r>
          </w:p>
        </w:tc>
        <w:tc>
          <w:tcPr>
            <w:tcW w:type="dxa" w:w="7517"/>
          </w:tcPr>
          <w:p>
            <w:r>
              <w:t>QA 審查工作區 current canonical page responsibility as defined by this Word.</w:t>
            </w:r>
          </w:p>
        </w:tc>
      </w:tr>
      <w:tr>
        <w:tc>
          <w:tcPr>
            <w:tcW w:type="dxa" w:w="7517"/>
          </w:tcPr>
          <w:p>
            <w:r>
              <w:t>Parent UID</w:t>
            </w:r>
          </w:p>
        </w:tc>
        <w:tc>
          <w:tcPr>
            <w:tcW w:type="dxa" w:w="7517"/>
          </w:tcPr>
          <w:p>
            <w:r>
              <w:t>REFERENCE_ONLY → current Global Navigation parent mapping.</w:t>
            </w:r>
          </w:p>
        </w:tc>
      </w:tr>
      <w:tr>
        <w:tc>
          <w:tcPr>
            <w:tcW w:type="dxa" w:w="7517"/>
          </w:tcPr>
          <w:p>
            <w:r>
              <w:t>Required Permission</w:t>
            </w:r>
          </w:p>
        </w:tc>
        <w:tc>
          <w:tcPr>
            <w:tcW w:type="dxa" w:w="7517"/>
          </w:tcPr>
          <w:p>
            <w:r>
              <w:t>Use the exact permission references already bound to current controls/actions; fail closed when unresolved.</w:t>
            </w:r>
          </w:p>
        </w:tc>
      </w:tr>
      <w:tr>
        <w:tc>
          <w:tcPr>
            <w:tcW w:type="dxa" w:w="7517"/>
          </w:tcPr>
          <w:p>
            <w:r>
              <w:t>Design Owner</w:t>
            </w:r>
          </w:p>
        </w:tc>
        <w:tc>
          <w:tcPr>
            <w:tcW w:type="dxa" w:w="7517"/>
          </w:tcPr>
          <w:p>
            <w:r>
              <w:t>ACPOS_QA-01_MOTHER_BASIC_DESIGN_TECH_PURPLE_v1.0.docx</w:t>
            </w:r>
          </w:p>
        </w:tc>
      </w:tr>
      <w:tr>
        <w:tc>
          <w:tcPr>
            <w:tcW w:type="dxa" w:w="7517"/>
          </w:tcPr>
          <w:p>
            <w:r>
              <w:t>Implementation Owner</w:t>
            </w:r>
          </w:p>
        </w:tc>
        <w:tc>
          <w:tcPr>
            <w:tcW w:type="dxa" w:w="7517"/>
          </w:tcPr>
          <w:p>
            <w:r>
              <w:t>REFERENCE_ONLY → existing owner/port mappings in this Word; no new implementation owner is created here.</w:t>
            </w:r>
          </w:p>
        </w:tc>
      </w:tr>
      <w:tr>
        <w:tc>
          <w:tcPr>
            <w:tcW w:type="dxa" w:w="7517"/>
          </w:tcPr>
          <w:p>
            <w:r>
              <w:t>Visual Status</w:t>
            </w:r>
          </w:p>
        </w:tc>
        <w:tc>
          <w:tcPr>
            <w:tcW w:type="dxa" w:w="7517"/>
          </w:tcPr>
          <w:p>
            <w: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[ACPOS-DESIGN-CLOSURE:QA-01:DESIGN-SYSTEM]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Color Tokens</w:t>
            </w:r>
          </w:p>
        </w:tc>
        <w:tc>
          <w:tcPr>
            <w:tcW w:type="dxa" w:w="75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7517"/>
          </w:tcPr>
          <w:p>
            <w:r>
              <w:t>Typography Tokens</w:t>
            </w:r>
          </w:p>
        </w:tc>
        <w:tc>
          <w:tcPr>
            <w:tcW w:type="dxa" w:w="75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7517"/>
          </w:tcPr>
          <w:p>
            <w:r>
              <w:t>Spacing Tokens</w:t>
            </w:r>
          </w:p>
        </w:tc>
        <w:tc>
          <w:tcPr>
            <w:tcW w:type="dxa" w:w="75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7517"/>
          </w:tcPr>
          <w:p>
            <w:r>
              <w:t>Component States</w:t>
            </w:r>
          </w:p>
        </w:tc>
        <w:tc>
          <w:tcPr>
            <w:tcW w:type="dxa" w:w="75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7517"/>
          </w:tcPr>
          <w:p>
            <w:r>
              <w:t>Primary Layout</w:t>
            </w:r>
          </w:p>
        </w:tc>
        <w:tc>
          <w:tcPr>
            <w:tcW w:type="dxa" w:w="75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7517"/>
          </w:tcPr>
          <w:p>
            <w:r>
              <w:t>Navigation Region</w:t>
            </w:r>
          </w:p>
        </w:tc>
        <w:tc>
          <w:tcPr>
            <w:tcW w:type="dxa" w:w="75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7517"/>
          </w:tcPr>
          <w:p>
            <w:r>
              <w:t>Responsive Behavior</w:t>
            </w:r>
          </w:p>
        </w:tc>
        <w:tc>
          <w:tcPr>
            <w:tcW w:type="dxa" w:w="75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7517"/>
          </w:tcPr>
          <w:p>
            <w:r>
              <w:t>Design Ownership</w:t>
            </w:r>
          </w:p>
        </w:tc>
        <w:tc>
          <w:tcPr>
            <w:tcW w:type="dxa" w:w="75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[ACPOS-DESIGN-CLOSURE:QA-01:GEOMETRY]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Viewport / Breakpoint UID</w:t>
            </w:r>
          </w:p>
        </w:tc>
        <w:tc>
          <w:tcPr>
            <w:tcW w:type="dxa" w:w="75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7517"/>
          </w:tcPr>
          <w:p>
            <w:r>
              <w:t>Container Width / Min / Max</w:t>
            </w:r>
          </w:p>
        </w:tc>
        <w:tc>
          <w:tcPr>
            <w:tcW w:type="dxa" w:w="75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7517"/>
          </w:tcPr>
          <w:p>
            <w:r>
              <w:t>Grid Columns / Span / Gutter / Outer Margin</w:t>
            </w:r>
          </w:p>
        </w:tc>
        <w:tc>
          <w:tcPr>
            <w:tcW w:type="dxa" w:w="75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7517"/>
          </w:tcPr>
          <w:p>
            <w:r>
              <w:t>Section Bounding Rules</w:t>
            </w:r>
          </w:p>
        </w:tc>
        <w:tc>
          <w:tcPr>
            <w:tcW w:type="dxa" w:w="75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7517"/>
          </w:tcPr>
          <w:p>
            <w:r>
              <w:t>Component / Control / Field Width / Height Rules</w:t>
            </w:r>
          </w:p>
        </w:tc>
        <w:tc>
          <w:tcPr>
            <w:tcW w:type="dxa" w:w="75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7517"/>
          </w:tcPr>
          <w:p>
            <w:r>
              <w:t>Min / Max Width / Height</w:t>
            </w:r>
          </w:p>
        </w:tc>
        <w:tc>
          <w:tcPr>
            <w:tcW w:type="dxa" w:w="75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7517"/>
          </w:tcPr>
          <w:p>
            <w:r>
              <w:t>Gap / Padding / Alignment</w:t>
            </w:r>
          </w:p>
        </w:tc>
        <w:tc>
          <w:tcPr>
            <w:tcW w:type="dxa" w:w="75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7517"/>
          </w:tcPr>
          <w:p>
            <w:r>
              <w:t>Aspect Ratio</w:t>
            </w:r>
          </w:p>
        </w:tc>
        <w:tc>
          <w:tcPr>
            <w:tcW w:type="dxa" w:w="75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7517"/>
          </w:tcPr>
          <w:p>
            <w:r>
              <w:t>Overflow / Scroll Rule</w:t>
            </w:r>
          </w:p>
        </w:tc>
        <w:tc>
          <w:tcPr>
            <w:tcW w:type="dxa" w:w="75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7517"/>
          </w:tcPr>
          <w:p>
            <w:r>
              <w:t>Collapse / Stack / Wrap Rule</w:t>
            </w:r>
          </w:p>
        </w:tc>
        <w:tc>
          <w:tcPr>
            <w:tcW w:type="dxa" w:w="75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7517"/>
          </w:tcPr>
          <w:p>
            <w:r>
              <w:t>Z-order / Overlay Rule</w:t>
            </w:r>
          </w:p>
        </w:tc>
        <w:tc>
          <w:tcPr>
            <w:tcW w:type="dxa" w:w="75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7517"/>
          </w:tcPr>
          <w:p>
            <w:r>
              <w:t>Text Capacity / Truncation / Wrap Rule</w:t>
            </w:r>
          </w:p>
        </w:tc>
        <w:tc>
          <w:tcPr>
            <w:tcW w:type="dxa" w:w="75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7517"/>
          </w:tcPr>
          <w:p>
            <w:r>
              <w:t>Asset Object-fit / Object-position</w:t>
            </w:r>
          </w:p>
        </w:tc>
        <w:tc>
          <w:tcPr>
            <w:tcW w:type="dxa" w:w="75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7517"/>
          </w:tcPr>
          <w:p>
            <w:r>
              <w:t>Locked Visual Anchors</w:t>
            </w:r>
          </w:p>
        </w:tc>
        <w:tc>
          <w:tcPr>
            <w:tcW w:type="dxa" w:w="75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7517"/>
          </w:tcPr>
          <w:p>
            <w:r>
              <w:t>Allowed Tolerance / Diff Threshold</w:t>
            </w:r>
          </w:p>
        </w:tc>
        <w:tc>
          <w:tcPr>
            <w:tcW w:type="dxa" w:w="75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7517"/>
          </w:tcPr>
          <w:p>
            <w:r>
              <w:t>Geometry Failure Set</w:t>
            </w:r>
          </w:p>
        </w:tc>
        <w:tc>
          <w:tcPr>
            <w:tcW w:type="dxa" w:w="75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[ACPOS-DESIGN-CLOSURE:QA-01:VISUAL]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c>
          <w:tcPr>
            <w:tcW w:type="dxa" w:w="3007"/>
          </w:tcPr>
          <w:p>
            <w:r>
              <w:t>Anchor UID</w:t>
            </w:r>
          </w:p>
        </w:tc>
        <w:tc>
          <w:tcPr>
            <w:tcW w:type="dxa" w:w="3007"/>
          </w:tcPr>
          <w:p>
            <w:r>
              <w:t>Position Rule</w:t>
            </w:r>
          </w:p>
        </w:tc>
        <w:tc>
          <w:tcPr>
            <w:tcW w:type="dxa" w:w="3007"/>
          </w:tcPr>
          <w:p>
            <w:r>
              <w:t>Dimension Rule</w:t>
            </w:r>
          </w:p>
        </w:tc>
        <w:tc>
          <w:tcPr>
            <w:tcW w:type="dxa" w:w="3007"/>
          </w:tcPr>
          <w:p>
            <w:r>
              <w:t>Relationship Rule</w:t>
            </w:r>
          </w:p>
        </w:tc>
        <w:tc>
          <w:tcPr>
            <w:tcW w:type="dxa" w:w="3007"/>
          </w:tcPr>
          <w:p>
            <w:r>
              <w:t>Lock Status</w:t>
            </w:r>
          </w:p>
        </w:tc>
      </w:tr>
      <w:tr>
        <w:tc>
          <w:tcPr>
            <w:tcW w:type="dxa" w:w="3007"/>
          </w:tcPr>
          <w:p>
            <w:r>
              <w:t>QA-01-VA-HEADER</w:t>
            </w:r>
          </w:p>
        </w:tc>
        <w:tc>
          <w:tcPr>
            <w:tcW w:type="dxa" w:w="3007"/>
          </w:tcPr>
          <w:p>
            <w:r>
              <w:t>Fixed at top of shared shell</w:t>
            </w:r>
          </w:p>
        </w:tc>
        <w:tc>
          <w:tcPr>
            <w:tcW w:type="dxa" w:w="3007"/>
          </w:tcPr>
          <w:p>
            <w:r>
              <w:t>58px full-width according to current shell authority</w:t>
            </w:r>
          </w:p>
        </w:tc>
        <w:tc>
          <w:tcPr>
            <w:tcW w:type="dxa" w:w="3007"/>
          </w:tcPr>
          <w:p>
            <w:r>
              <w:t>Above Sidebar/Workspace; must not be covered by page content</w:t>
            </w:r>
          </w:p>
        </w:tc>
        <w:tc>
          <w:tcPr>
            <w:tcW w:type="dxa" w:w="3007"/>
          </w:tcPr>
          <w:p>
            <w:r>
              <w:t>LOCKED</w:t>
            </w:r>
          </w:p>
        </w:tc>
      </w:tr>
      <w:tr>
        <w:tc>
          <w:tcPr>
            <w:tcW w:type="dxa" w:w="3007"/>
          </w:tcPr>
          <w:p>
            <w:r>
              <w:t>QA-01-VA-SIDEBAR</w:t>
            </w:r>
          </w:p>
        </w:tc>
        <w:tc>
          <w:tcPr>
            <w:tcW w:type="dxa" w:w="3007"/>
          </w:tcPr>
          <w:p>
            <w:r>
              <w:t>Fixed left rail under shared shell header</w:t>
            </w:r>
          </w:p>
        </w:tc>
        <w:tc>
          <w:tcPr>
            <w:tcW w:type="dxa" w:w="3007"/>
          </w:tcPr>
          <w:p>
            <w:r>
              <w:t>64px resting; 221px overlay expansion where current shell defines it</w:t>
            </w:r>
          </w:p>
        </w:tc>
        <w:tc>
          <w:tcPr>
            <w:tcW w:type="dxa" w:w="3007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007"/>
          </w:tcPr>
          <w:p>
            <w:r>
              <w:t>LOCKED</w:t>
            </w:r>
          </w:p>
        </w:tc>
      </w:tr>
      <w:tr>
        <w:tc>
          <w:tcPr>
            <w:tcW w:type="dxa" w:w="3007"/>
          </w:tcPr>
          <w:p>
            <w:r>
              <w:t>QA-01-VA-WORKSPACE</w:t>
            </w:r>
          </w:p>
        </w:tc>
        <w:tc>
          <w:tcPr>
            <w:tcW w:type="dxa" w:w="3007"/>
          </w:tcPr>
          <w:p>
            <w:r>
              <w:t>Current page primary content region below Header / beside resting rail</w:t>
            </w:r>
          </w:p>
        </w:tc>
        <w:tc>
          <w:tcPr>
            <w:tcW w:type="dxa" w:w="3007"/>
          </w:tcPr>
          <w:p>
            <w:r>
              <w:t>Use this Word's existing Primary Grid / section dimensions</w:t>
            </w:r>
          </w:p>
        </w:tc>
        <w:tc>
          <w:tcPr>
            <w:tcW w:type="dxa" w:w="3007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007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[ACPOS-DESIGN-CLOSURE:QA-01:VISUAL-CONTRACT]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Current Canonical Visual</w:t>
            </w:r>
          </w:p>
        </w:tc>
        <w:tc>
          <w:tcPr>
            <w:tcW w:type="dxa" w:w="7517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7517"/>
          </w:tcPr>
          <w:p>
            <w:r>
              <w:t>Visual Candidate UID</w:t>
            </w:r>
          </w:p>
        </w:tc>
        <w:tc>
          <w:tcPr>
            <w:tcW w:type="dxa" w:w="7517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7517"/>
          </w:tcPr>
          <w:p>
            <w:r>
              <w:t>Generation Manifest</w:t>
            </w:r>
          </w:p>
        </w:tc>
        <w:tc>
          <w:tcPr>
            <w:tcW w:type="dxa" w:w="7517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7517"/>
          </w:tcPr>
          <w:p>
            <w:r>
              <w:t>Visual Preview</w:t>
            </w:r>
          </w:p>
        </w:tc>
        <w:tc>
          <w:tcPr>
            <w:tcW w:type="dxa" w:w="7517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7517"/>
          </w:tcPr>
          <w:p>
            <w:r>
              <w:t>Visual Review</w:t>
            </w:r>
          </w:p>
        </w:tc>
        <w:tc>
          <w:tcPr>
            <w:tcW w:type="dxa" w:w="7517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7517"/>
          </w:tcPr>
          <w:p>
            <w:r>
              <w:t>Approval Status</w:t>
            </w:r>
          </w:p>
        </w:tc>
        <w:tc>
          <w:tcPr>
            <w:tcW w:type="dxa" w:w="7517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7517"/>
          </w:tcPr>
          <w:p>
            <w:r>
              <w:t>Change Set / Drift</w:t>
            </w:r>
          </w:p>
        </w:tc>
        <w:tc>
          <w:tcPr>
            <w:tcW w:type="dxa" w:w="7517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[ACPOS-DESIGN-CLOSURE:QA-01:ASSET]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Page-local Asset Registry Applicability</w:t>
            </w:r>
          </w:p>
        </w:tc>
        <w:tc>
          <w:tcPr>
            <w:tcW w:type="dxa" w:w="7517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7517"/>
          </w:tcPr>
          <w:p>
            <w:r>
              <w:t>Shared Shell Assets</w:t>
            </w:r>
          </w:p>
        </w:tc>
        <w:tc>
          <w:tcPr>
            <w:tcW w:type="dxa" w:w="7517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7517"/>
          </w:tcPr>
          <w:p>
            <w:r>
              <w:t>Dynamic Business Content</w:t>
            </w:r>
          </w:p>
        </w:tc>
        <w:tc>
          <w:tcPr>
            <w:tcW w:type="dxa" w:w="7517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7517"/>
          </w:tcPr>
          <w:p>
            <w:r>
              <w:t>Binding Contract</w:t>
            </w:r>
          </w:p>
        </w:tc>
        <w:tc>
          <w:tcPr>
            <w:tcW w:type="dxa" w:w="7517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7517"/>
          </w:tcPr>
          <w:p>
            <w:r>
              <w:t>Modification Rule</w:t>
            </w:r>
          </w:p>
        </w:tc>
        <w:tc>
          <w:tcPr>
            <w:tcW w:type="dxa" w:w="7517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7517"/>
          </w:tcPr>
          <w:p>
            <w:r>
              <w:t>N/A Authority</w:t>
            </w:r>
          </w:p>
        </w:tc>
        <w:tc>
          <w:tcPr>
            <w:tcW w:type="dxa" w:w="7517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