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t>attachConversationContext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rPr>
                <w:sz w:val="10"/>
              </w:rPr>
              <w: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rPr>
                <w:sz w:val="10"/>
              </w:rPr>
              <w: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p>
      <w:pPr>
        <w:sectPr>
          <w:pgSz w:w="15840" w:h="12240" w:orient="landscape"/>
          <w:pgMar w:top="576" w:right="504" w:bottom="576" w:left="504" w:header="360" w:footer="360" w:gutter="0"/>
          <w:cols w:space="720"/>
          <w:docGrid w:linePitch="360"/>
        </w:sectPr>
      </w:pPr>
    </w:p>
    <w:p>
      <w:pPr>
        <w:pStyle w:val="Heading1"/>
      </w:pPr>
      <w:r>
        <w:t>Batch 10 · Cross-System Reference-Only Supersession Register</w:t>
      </w:r>
    </w:p>
    <w:p>
      <w:r>
        <w:rPr>
          <w:b/>
        </w:rPr>
        <w:t xml:space="preserve">[ACPOS-20260921-BATCH-10-CANONICAL-OWNER-PRECEDENCE-V1::REFERENCE_ONLY::02_ACPOS_AI_Conversation_Memory_MultiAI_Assistant_Mother_Basic_Logic_Design_Normative_Contract_v1.0.docx] </w:t>
      </w:r>
      <w:r>
        <w:t>The exact UIDs below remain in this document for integration, inspection, or domain-consumer context only. Their physical presence MUST NOT be interpreted as Canonical Owner registration. Batch 10 resolves the canonical owner from pre-existing owner-boundary authority; no business binding value is changed.</w:t>
      </w:r>
    </w:p>
    <w:tbl>
      <w:tblPr>
        <w:tblStyle w:val="TableGrid"/>
        <w:tblW w:type="auto" w:w="0"/>
        <w:tblLook w:firstColumn="1" w:firstRow="1" w:lastColumn="0" w:lastRow="0" w:noHBand="0" w:noVBand="1" w:val="04A0"/>
      </w:tblPr>
      <w:tblGrid>
        <w:gridCol w:w="1896"/>
        <w:gridCol w:w="1896"/>
        <w:gridCol w:w="1896"/>
        <w:gridCol w:w="1896"/>
        <w:gridCol w:w="1896"/>
        <w:gridCol w:w="1896"/>
      </w:tblGrid>
      <w:tr>
        <w:trPr>
          <w:tblHeader w:val="true"/>
        </w:trPr>
        <w:tc>
          <w:tcPr>
            <w:tcW w:type="dxa" w:w="1896"/>
            <w:shd w:fill="EDE9FE"/>
          </w:tcPr>
          <w:p>
            <w:r>
              <w:rPr>
                <w:sz w:val="7"/>
              </w:rPr>
              <w:t>Reference UID</w:t>
            </w:r>
          </w:p>
        </w:tc>
        <w:tc>
          <w:tcPr>
            <w:tcW w:type="dxa" w:w="1896"/>
            <w:shd w:fill="EDE9FE"/>
          </w:tcPr>
          <w:p>
            <w:r>
              <w:rPr>
                <w:sz w:val="7"/>
              </w:rPr>
              <w:t>Page</w:t>
            </w:r>
          </w:p>
        </w:tc>
        <w:tc>
          <w:tcPr>
            <w:tcW w:type="dxa" w:w="1896"/>
            <w:shd w:fill="EDE9FE"/>
          </w:tcPr>
          <w:p>
            <w:r>
              <w:rPr>
                <w:sz w:val="7"/>
              </w:rPr>
              <w:t>Missing Field</w:t>
            </w:r>
          </w:p>
        </w:tc>
        <w:tc>
          <w:tcPr>
            <w:tcW w:type="dxa" w:w="1896"/>
            <w:shd w:fill="EDE9FE"/>
          </w:tcPr>
          <w:p>
            <w:r>
              <w:rPr>
                <w:sz w:val="7"/>
              </w:rPr>
              <w:t>Canonical Owner</w:t>
            </w:r>
          </w:p>
        </w:tc>
        <w:tc>
          <w:tcPr>
            <w:tcW w:type="dxa" w:w="1896"/>
            <w:shd w:fill="EDE9FE"/>
          </w:tcPr>
          <w:p>
            <w:r>
              <w:rPr>
                <w:sz w:val="7"/>
              </w:rPr>
              <w:t>Local Role</w:t>
            </w:r>
          </w:p>
        </w:tc>
        <w:tc>
          <w:tcPr>
            <w:tcW w:type="dxa" w:w="1896"/>
            <w:shd w:fill="EDE9FE"/>
          </w:tcPr>
          <w:p>
            <w:r>
              <w:rPr>
                <w:sz w:val="7"/>
              </w:rPr>
              <w:t>Authority Basis</w:t>
            </w:r>
          </w:p>
        </w:tc>
      </w:tr>
      <w:tr>
        <w:tc>
          <w:tcPr>
            <w:tcW w:type="dxa" w:w="1896"/>
          </w:tcPr>
          <w:p>
            <w:r>
              <w:rPr>
                <w:sz w:val="7"/>
              </w:rPr>
              <w:t>DEV-01-BTN-DISCOVERY-STOP</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r>
        <w:tc>
          <w:tcPr>
            <w:tcW w:type="dxa" w:w="1896"/>
          </w:tcPr>
          <w:p>
            <w:r>
              <w:rPr>
                <w:sz w:val="7"/>
              </w:rPr>
              <w:t>DEV-01-BTN-EMAIL-DISPATCH</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bl>
    <w:p>
      <w:r>
        <w:t>Scanner rule: tables in this supersession register deliberately use 'Reference UID', not 'Control UID'. Listed UIDs are reference-only in this document and MUST be excluded from canonical-owner denominator calculations.</w:t>
      </w:r>
    </w:p>
    <w:p>
      <w:pPr>
        <w:sectPr>
          <w:pgSz w:w="12240" w:h="15840" w:orient="landscape"/>
          <w:pgMar w:top="504" w:right="432" w:bottom="504"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CORE-01</w:t>
            </w:r>
          </w:p>
        </w:tc>
        <w:tc>
          <w:tcPr>
            <w:tcW w:type="dxa" w:w="1879"/>
          </w:tcPr>
          <w:p>
            <w:pPr>
              <w:spacing w:before="0" w:after="0"/>
            </w:pPr>
            <w:r>
              <w:rPr>
                <w:sz w:val="7"/>
              </w:rPr>
              <w:t>CORE-01-BTN-NEW-THREAD</w:t>
            </w:r>
          </w:p>
        </w:tc>
        <w:tc>
          <w:tcPr>
            <w:tcW w:type="dxa" w:w="1879"/>
          </w:tcPr>
          <w:p>
            <w:pPr>
              <w:spacing w:before="0" w:after="0"/>
            </w:pPr>
            <w:r>
              <w:rPr>
                <w:sz w:val="7"/>
              </w:rPr>
              <w:t>operation</w:t>
            </w:r>
          </w:p>
        </w:tc>
        <w:tc>
          <w:tcPr>
            <w:tcW w:type="dxa" w:w="1879"/>
          </w:tcPr>
          <w:p>
            <w:pPr>
              <w:spacing w:before="0" w:after="0"/>
            </w:pPr>
            <w:r>
              <w:rPr>
                <w:sz w:val="7"/>
              </w:rPr>
              <w:t>createConversationThread</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CORE-01-BTN-SEND</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CORE-01-FLD-ASSISTANT-SUMMARY</w:t>
            </w:r>
          </w:p>
        </w:tc>
        <w:tc>
          <w:tcPr>
            <w:tcW w:type="dxa" w:w="1879"/>
          </w:tcPr>
          <w:p>
            <w:pPr>
              <w:spacing w:before="0" w:after="0"/>
            </w:pPr>
            <w:r>
              <w:rPr>
                <w:sz w:val="7"/>
              </w:rPr>
              <w:t>operation</w:t>
            </w:r>
          </w:p>
        </w:tc>
        <w:tc>
          <w:tcPr>
            <w:tcW w:type="dxa" w:w="1879"/>
          </w:tcPr>
          <w:p>
            <w:pPr>
              <w:spacing w:before="0" w:after="0"/>
            </w:pPr>
            <w:r>
              <w:rPr>
                <w:sz w:val="7"/>
              </w:rPr>
              <w:t>createAssistantSummary</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CORE-01-FLD-MESSAGE</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CORE-01-FLD-STRUCTURED-DECISION</w:t>
            </w:r>
          </w:p>
        </w:tc>
        <w:tc>
          <w:tcPr>
            <w:tcW w:type="dxa" w:w="1879"/>
          </w:tcPr>
          <w:p>
            <w:pPr>
              <w:spacing w:before="0" w:after="0"/>
            </w:pPr>
            <w:r>
              <w:rPr>
                <w:sz w:val="7"/>
              </w:rPr>
              <w:t>operation</w:t>
            </w:r>
          </w:p>
        </w:tc>
        <w:tc>
          <w:tcPr>
            <w:tcW w:type="dxa" w:w="1879"/>
          </w:tcPr>
          <w:p>
            <w:pPr>
              <w:spacing w:before="0" w:after="0"/>
            </w:pPr>
            <w:r>
              <w:rPr>
                <w:sz w:val="7"/>
              </w:rPr>
              <w:t>createAssistantStructuredDecision</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CORE-01-MENU-ANALYZE</w:t>
            </w:r>
          </w:p>
        </w:tc>
        <w:tc>
          <w:tcPr>
            <w:tcW w:type="dxa" w:w="1879"/>
          </w:tcPr>
          <w:p>
            <w:pPr>
              <w:spacing w:before="0" w:after="0"/>
            </w:pPr>
            <w:r>
              <w:rPr>
                <w:sz w:val="7"/>
              </w:rPr>
              <w:t>operation</w:t>
            </w:r>
          </w:p>
        </w:tc>
        <w:tc>
          <w:tcPr>
            <w:tcW w:type="dxa" w:w="1879"/>
          </w:tcPr>
          <w:p>
            <w:pPr>
              <w:spacing w:before="0" w:after="0"/>
            </w:pPr>
            <w:r>
              <w:rPr>
                <w:sz w:val="7"/>
              </w:rPr>
              <w:t>analyzeConversationMessage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CORE-01-MENU-BRANCH</w:t>
            </w:r>
          </w:p>
        </w:tc>
        <w:tc>
          <w:tcPr>
            <w:tcW w:type="dxa" w:w="1879"/>
          </w:tcPr>
          <w:p>
            <w:pPr>
              <w:spacing w:before="0" w:after="0"/>
            </w:pPr>
            <w:r>
              <w:rPr>
                <w:sz w:val="7"/>
              </w:rPr>
              <w:t>operation</w:t>
            </w:r>
          </w:p>
        </w:tc>
        <w:tc>
          <w:tcPr>
            <w:tcW w:type="dxa" w:w="1879"/>
          </w:tcPr>
          <w:p>
            <w:pPr>
              <w:spacing w:before="0" w:after="0"/>
            </w:pPr>
            <w:r>
              <w:rPr>
                <w:sz w:val="7"/>
              </w:rPr>
              <w:t>createConversationBranch</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STR-01-BTN-ATTACH</w:t>
            </w:r>
          </w:p>
        </w:tc>
        <w:tc>
          <w:tcPr>
            <w:tcW w:type="dxa" w:w="1879"/>
          </w:tcPr>
          <w:p>
            <w:pPr>
              <w:spacing w:before="0" w:after="0"/>
            </w:pPr>
            <w:r>
              <w:rPr>
                <w:sz w:val="7"/>
              </w:rPr>
              <w:t>operation</w:t>
            </w:r>
          </w:p>
        </w:tc>
        <w:tc>
          <w:tcPr>
            <w:tcW w:type="dxa" w:w="1879"/>
          </w:tcPr>
          <w:p>
            <w:pPr>
              <w:spacing w:before="0" w:after="0"/>
            </w:pPr>
            <w:r>
              <w:rPr>
                <w:sz w:val="7"/>
              </w:rPr>
              <w:t>getConversationAttachmentContext</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STR-01-VIEW-CONVERSATION</w:t>
            </w:r>
          </w:p>
        </w:tc>
        <w:tc>
          <w:tcPr>
            <w:tcW w:type="dxa" w:w="1879"/>
          </w:tcPr>
          <w:p>
            <w:pPr>
              <w:spacing w:before="0" w:after="0"/>
            </w:pPr>
            <w:r>
              <w:rPr>
                <w:sz w:val="7"/>
              </w:rPr>
              <w:t>operation</w:t>
            </w:r>
          </w:p>
        </w:tc>
        <w:tc>
          <w:tcPr>
            <w:tcW w:type="dxa" w:w="1879"/>
          </w:tcPr>
          <w:p>
            <w:pPr>
              <w:spacing w:before="0" w:after="0"/>
            </w:pPr>
            <w:r>
              <w:rPr>
                <w:sz w:val="7"/>
              </w:rPr>
              <w:t>getStrategicConversationProjection</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SYS-01</w:t>
            </w:r>
          </w:p>
        </w:tc>
        <w:tc>
          <w:tcPr>
            <w:tcW w:type="dxa" w:w="1879"/>
          </w:tcPr>
          <w:p>
            <w:pPr>
              <w:spacing w:before="0" w:after="0"/>
            </w:pPr>
            <w:r>
              <w:rPr>
                <w:sz w:val="7"/>
              </w:rPr>
              <w:t>SYS-01-BTN-ATTACH</w:t>
            </w:r>
          </w:p>
        </w:tc>
        <w:tc>
          <w:tcPr>
            <w:tcW w:type="dxa" w:w="1879"/>
          </w:tcPr>
          <w:p>
            <w:pPr>
              <w:spacing w:before="0" w:after="0"/>
            </w:pPr>
            <w:r>
              <w:rPr>
                <w:sz w:val="7"/>
              </w:rPr>
              <w:t>runtime_owner</w:t>
            </w:r>
          </w:p>
        </w:tc>
        <w:tc>
          <w:tcPr>
            <w:tcW w:type="dxa" w:w="1879"/>
          </w:tcPr>
          <w:p>
            <w:pPr>
              <w:spacing w:before="0" w:after="0"/>
            </w:pPr>
            <w:r>
              <w:rPr>
                <w:sz w:val="7"/>
              </w:rPr>
              <w:t>RESOLVE_FROM_CURRENT_CONVERSATION_CORE_DURING_LOGIC_PHASE</w:t>
            </w:r>
          </w:p>
        </w:tc>
        <w:tc>
          <w:tcPr>
            <w:tcW w:type="dxa" w:w="1879"/>
          </w:tcPr>
          <w:p>
            <w:pPr>
              <w:spacing w:before="0" w:after="0"/>
            </w:pPr>
            <w:r>
              <w:rPr>
                <w:sz w:val="7"/>
              </w:rPr>
              <w:t>Shared Conversation Core</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bl>
    <w:p>
      <w:pPr>
        <w:sectPr>
          <w:pgSz w:w="15840" w:h="12240" w:orient="landscape"/>
          <w:pgMar w:top="475" w:right="403" w:bottom="475" w:left="403" w:header="360" w:footer="360" w:gutter="0"/>
          <w:cols w:space="720"/>
          <w:docGrid w:linePitch="360"/>
        </w:sectPr>
      </w:pPr>
    </w:p>
    <w:p>
      <w:pPr>
        <w:pStyle w:val="Heading1"/>
      </w:pPr>
      <w:r>
        <w:t>Batch 32 · Conversation Attachment Canonical Operation Contract</w:t>
      </w:r>
    </w:p>
    <w:p>
      <w:r>
        <w:rPr>
          <w:b/>
        </w:rPr>
        <w:t xml:space="preserve">[ACPOS-20260922-BATCH-32-OPERATION-PLACEHOLDER-REMEDIATION-V1::02_ACPOS_AI_Conversation_Memory_MultiAI_Assistant_Mother_Basic_Logic_Design_Normative_Contract_v1.0.docx]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SYS-01-BTN-ATTACH</w:t>
            </w:r>
          </w:p>
        </w:tc>
        <w:tc>
          <w:tcPr>
            <w:tcW w:type="dxa" w:w="1429"/>
          </w:tcPr>
          <w:p>
            <w:pPr>
              <w:spacing w:before="0" w:after="0"/>
            </w:pPr>
            <w:r>
              <w:rPr>
                <w:sz w:val="7"/>
              </w:rPr>
              <w:t>attachConversationContext</w:t>
            </w:r>
          </w:p>
        </w:tc>
        <w:tc>
          <w:tcPr>
            <w:tcW w:type="dxa" w:w="1429"/>
          </w:tcPr>
          <w:p>
            <w:pPr>
              <w:spacing w:before="0" w:after="0"/>
            </w:pPr>
            <w:r>
              <w:rPr>
                <w:sz w:val="7"/>
              </w:rPr>
              <w:t>SYS-01-ACT-CONVERSATION-ATTACH</w:t>
            </w:r>
          </w:p>
        </w:tc>
        <w:tc>
          <w:tcPr>
            <w:tcW w:type="dxa" w:w="1429"/>
          </w:tcPr>
          <w:p>
            <w:pPr>
              <w:spacing w:before="0" w:after="0"/>
            </w:pPr>
            <w:r>
              <w:rPr>
                <w:sz w:val="7"/>
              </w:rPr>
              <w:t>SYS-01-GATE-CONVERSATION-COMPOSER</w:t>
            </w:r>
          </w:p>
        </w:tc>
        <w:tc>
          <w:tcPr>
            <w:tcW w:type="dxa" w:w="1429"/>
          </w:tcPr>
          <w:p>
            <w:pPr>
              <w:spacing w:before="0" w:after="0"/>
            </w:pPr>
            <w:r>
              <w:rPr>
                <w:sz w:val="7"/>
              </w:rPr>
              <w:t>system.ai.use</w:t>
            </w:r>
          </w:p>
        </w:tc>
        <w:tc>
          <w:tcPr>
            <w:tcW w:type="dxa" w:w="1429"/>
          </w:tcPr>
          <w:p>
            <w:pPr>
              <w:spacing w:before="0" w:after="0"/>
            </w:pPr>
            <w:r>
              <w:rPr>
                <w:sz w:val="7"/>
              </w:rPr>
              <w:t>Shared Conversation Core</w:t>
            </w:r>
          </w:p>
        </w:tc>
        <w:tc>
          <w:tcPr>
            <w:tcW w:type="dxa" w:w="1429"/>
          </w:tcPr>
          <w:p>
            <w:pPr>
              <w:spacing w:before="0" w:after="0"/>
            </w:pPr>
            <w:r>
              <w:rPr>
                <w:sz w:val="7"/>
              </w:rPr>
              <w:t>EFFECTFUL_EXACT</w:t>
            </w:r>
          </w:p>
        </w:tc>
        <w:tc>
          <w:tcPr>
            <w:tcW w:type="dxa" w:w="1429"/>
          </w:tcPr>
          <w:p>
            <w:pPr>
              <w:spacing w:before="0" w:after="0"/>
            </w:pPr>
            <w:r>
              <w:rPr>
                <w:sz w:val="7"/>
              </w:rPr>
              <w:t>Attach an already-resolved typed attachment/context reference to the current conversation composer/context binding. The Conversation Core does not become owner of the raw attachment object; permission/classification and exact attachment/context identity must resolve before inclusion. Failure is fail-closed.</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