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Times New Roman Cyr" w:hAnsi="Times New Roman Cyr"/>
          <w:b/>
          <w:bCs/>
        </w:rPr>
      </w:pPr>
      <w:r>
        <w:rPr>
          <w:rFonts w:ascii="Times New Roman Cyr" w:hAnsi="Times New Roman Cyr"/>
          <w:b/>
          <w:bCs/>
        </w:rPr>
        <w:t>1. List down 6 style specification formats in selectors in CSS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Class selectors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Uses .class-name, for example .button selects all elements with class=”button”.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ID selectors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Uses #id-name, e.g #header from id=”header”.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Type selectors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e.g elementName. For example p from &lt;p&gt;.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Universal Selector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You use “*”, selects all elements on the page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Attribute selectors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Use [attributeName] of [attributeName = “value”]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for example [target] selects all elements with a “target” attribute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Pseudo-class Selector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 Cyr" w:hAnsi="Times New Roman Cyr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Uses this format “:pseudo-class”, for example “:hover” select elements when they are hovered by mouse.</w:t>
      </w:r>
    </w:p>
    <w:p>
      <w:pPr>
        <w:pStyle w:val="Normal"/>
        <w:bidi w:val="0"/>
        <w:spacing w:lineRule="auto" w:line="360"/>
        <w:jc w:val="both"/>
        <w:rPr>
          <w:rFonts w:ascii="Times New Roman Cyr" w:hAnsi="Times New Roman Cyr"/>
          <w:b/>
          <w:bCs/>
        </w:rPr>
      </w:pPr>
      <w:r>
        <w:rPr>
          <w:rFonts w:ascii="Times New Roman Cyr" w:hAnsi="Times New Roman Cyr"/>
          <w:b/>
          <w:bCs/>
        </w:rPr>
        <w:t xml:space="preserve">2.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ohit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star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star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bidi w:val="0"/>
      <w:ind w:hanging="340" w:start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hanging="340" w:start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star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star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LibreOffice/7.6.0.3$Linux_X86_64 LibreOffice_project/69edd8b8ebc41d00b4de3915dc82f8f0fc3b6265</Application>
  <AppVersion>15.0000</AppVersion>
  <Pages>1</Pages>
  <Words>100</Words>
  <Characters>529</Characters>
  <CharactersWithSpaces>602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2023-10-01T22:18:13Z</dcterms:created>
  <dc:creator/>
  <dc:description/>
  <dc:language>en-US</dc:language>
  <cp:lastModifiedBy/>
  <dcterms:modified xsi:type="dcterms:W3CDTF">2023-10-01T22:28:47Z</dcterms:modified>
  <cp:revision>1</cp:revision>
  <dc:subject/>
  <dc:title/>
</cp:coreProperties>
</file>