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2C9" w:rsidRDefault="005B22C9" w:rsidP="005B2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40"/>
        <w:jc w:val="center"/>
        <w:rPr>
          <w:rFonts w:ascii="宋体" w:eastAsia="宋体" w:hAnsi="宋体" w:cs="宋体" w:hint="eastAsia"/>
          <w:b/>
          <w:color w:val="323E32"/>
          <w:kern w:val="0"/>
          <w:sz w:val="28"/>
          <w:szCs w:val="28"/>
        </w:rPr>
      </w:pPr>
      <w:r>
        <w:rPr>
          <w:rFonts w:ascii="微软雅黑" w:eastAsia="微软雅黑" w:hAnsi="微软雅黑" w:hint="eastAsia"/>
          <w:b/>
          <w:bCs/>
          <w:color w:val="323E32"/>
          <w:sz w:val="27"/>
          <w:szCs w:val="27"/>
        </w:rPr>
        <w:t>财务报表勾稽关系研究</w:t>
      </w:r>
    </w:p>
    <w:p w:rsidR="005B22C9" w:rsidRDefault="005B22C9" w:rsidP="005B2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2"/>
        <w:jc w:val="left"/>
        <w:rPr>
          <w:rFonts w:ascii="宋体" w:eastAsia="宋体" w:hAnsi="宋体" w:cs="宋体" w:hint="eastAsia"/>
          <w:b/>
          <w:color w:val="323E32"/>
          <w:kern w:val="0"/>
          <w:sz w:val="28"/>
          <w:szCs w:val="28"/>
        </w:rPr>
      </w:pPr>
    </w:p>
    <w:p w:rsidR="005B22C9" w:rsidRPr="005B22C9" w:rsidRDefault="005B22C9" w:rsidP="005B2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2"/>
        <w:jc w:val="left"/>
        <w:rPr>
          <w:rFonts w:ascii="宋体" w:eastAsia="宋体" w:hAnsi="宋体" w:cs="宋体"/>
          <w:color w:val="323E32"/>
          <w:kern w:val="0"/>
          <w:sz w:val="24"/>
          <w:szCs w:val="24"/>
        </w:rPr>
      </w:pPr>
      <w:r w:rsidRPr="005B22C9">
        <w:rPr>
          <w:rFonts w:ascii="宋体" w:eastAsia="宋体" w:hAnsi="宋体" w:cs="宋体"/>
          <w:b/>
          <w:color w:val="323E32"/>
          <w:kern w:val="0"/>
          <w:sz w:val="28"/>
          <w:szCs w:val="28"/>
        </w:rPr>
        <w:t xml:space="preserve">一、表内勾稽关系 </w:t>
      </w:r>
      <w:r w:rsidRPr="005B22C9">
        <w:rPr>
          <w:rFonts w:ascii="宋体" w:eastAsia="宋体" w:hAnsi="宋体" w:cs="宋体"/>
          <w:color w:val="323E32"/>
          <w:kern w:val="0"/>
          <w:sz w:val="24"/>
          <w:szCs w:val="24"/>
        </w:rPr>
        <w:t xml:space="preserve"> </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在财务报表中，有些勾稽关系是精确的，即各个项目之间可以构成等式。如：资产</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负债</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所有者权益；收入</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费用</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利润。相对于表间关系而言，表内关系是简单的。</w:t>
      </w:r>
    </w:p>
    <w:p w:rsidR="005B22C9" w:rsidRPr="005B22C9" w:rsidRDefault="005B22C9" w:rsidP="005B2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color w:val="323E32"/>
          <w:kern w:val="0"/>
          <w:sz w:val="24"/>
          <w:szCs w:val="24"/>
        </w:rPr>
      </w:pPr>
      <w:r w:rsidRPr="005B22C9">
        <w:rPr>
          <w:rFonts w:ascii="宋体" w:eastAsia="宋体" w:hAnsi="宋体" w:cs="宋体"/>
          <w:color w:val="323E32"/>
          <w:kern w:val="0"/>
          <w:sz w:val="24"/>
          <w:szCs w:val="24"/>
        </w:rPr>
        <w:t>1、资产负债表最重要的一个“勾稽关系”就是资产等于负债加上权益。</w:t>
      </w:r>
      <w:r w:rsidRPr="005B22C9">
        <w:rPr>
          <w:rFonts w:ascii="宋体" w:eastAsia="宋体" w:hAnsi="宋体" w:cs="宋体"/>
          <w:color w:val="FF0000"/>
          <w:kern w:val="0"/>
          <w:sz w:val="24"/>
          <w:szCs w:val="24"/>
        </w:rPr>
        <w:t>也就是说，企业现在拥有的一切，不外乎来源于两个方面，一个是本来就是自己的，另一个就是借来的，自己有的再加上借来的，当然就是现在拥有的一切。在会计上，目前我拥有的一切就叫资产，而借来的钱就是负债，自己的就叫权益。这就是资产负债表最重要的内部“勾稽关系”。</w:t>
      </w:r>
      <w:r w:rsidRPr="005B22C9">
        <w:rPr>
          <w:rFonts w:ascii="宋体" w:eastAsia="宋体" w:hAnsi="宋体" w:cs="宋体"/>
          <w:color w:val="323E32"/>
          <w:kern w:val="0"/>
          <w:sz w:val="24"/>
          <w:szCs w:val="24"/>
        </w:rPr>
        <w:t xml:space="preserve"> </w:t>
      </w:r>
    </w:p>
    <w:p w:rsidR="005B22C9" w:rsidRPr="005B22C9" w:rsidRDefault="005B22C9" w:rsidP="005B2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color w:val="323E32"/>
          <w:kern w:val="0"/>
          <w:sz w:val="24"/>
          <w:szCs w:val="24"/>
        </w:rPr>
      </w:pPr>
      <w:r w:rsidRPr="005B22C9">
        <w:rPr>
          <w:rFonts w:ascii="宋体" w:eastAsia="宋体" w:hAnsi="宋体" w:cs="宋体"/>
          <w:color w:val="323E32"/>
          <w:kern w:val="0"/>
          <w:sz w:val="24"/>
          <w:szCs w:val="24"/>
        </w:rPr>
        <w:t>2、利润表</w:t>
      </w:r>
      <w:r w:rsidRPr="005B22C9">
        <w:rPr>
          <w:rFonts w:ascii="宋体" w:eastAsia="宋体" w:hAnsi="宋体" w:cs="宋体"/>
          <w:color w:val="FF0000"/>
          <w:kern w:val="0"/>
          <w:sz w:val="24"/>
          <w:szCs w:val="24"/>
        </w:rPr>
        <w:t>最重要的一个“勾稽关系”就是收入减去成本费用，等于利润。</w:t>
      </w:r>
      <w:r w:rsidRPr="005B22C9">
        <w:rPr>
          <w:rFonts w:ascii="宋体" w:eastAsia="宋体" w:hAnsi="宋体" w:cs="宋体"/>
          <w:color w:val="323E32"/>
          <w:kern w:val="0"/>
          <w:sz w:val="24"/>
          <w:szCs w:val="24"/>
        </w:rPr>
        <w:t xml:space="preserve"> </w:t>
      </w:r>
    </w:p>
    <w:p w:rsidR="005B22C9" w:rsidRPr="005B22C9" w:rsidRDefault="005B22C9" w:rsidP="005B2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color w:val="323E32"/>
          <w:kern w:val="0"/>
          <w:sz w:val="24"/>
          <w:szCs w:val="24"/>
        </w:rPr>
      </w:pPr>
      <w:r w:rsidRPr="005B22C9">
        <w:rPr>
          <w:rFonts w:ascii="宋体" w:eastAsia="宋体" w:hAnsi="宋体" w:cs="宋体"/>
          <w:color w:val="323E32"/>
          <w:kern w:val="0"/>
          <w:sz w:val="24"/>
          <w:szCs w:val="24"/>
        </w:rPr>
        <w:t>3、现金流量表主要是告诉我们，在一段时间里，这个公司收进了多少现金，付出去了多少现金，还余下多少现金在银行里。</w:t>
      </w:r>
      <w:r w:rsidRPr="005B22C9">
        <w:rPr>
          <w:rFonts w:ascii="宋体" w:eastAsia="宋体" w:hAnsi="宋体" w:cs="宋体"/>
          <w:color w:val="FF0000"/>
          <w:kern w:val="0"/>
          <w:sz w:val="24"/>
          <w:szCs w:val="24"/>
        </w:rPr>
        <w:t>最重要的一个“勾稽关系”就是流入的现金减去流出的现金，等于余下的现金。</w:t>
      </w:r>
      <w:r w:rsidRPr="005B22C9">
        <w:rPr>
          <w:rFonts w:ascii="宋体" w:eastAsia="宋体" w:hAnsi="宋体" w:cs="宋体"/>
          <w:color w:val="323E32"/>
          <w:kern w:val="0"/>
          <w:sz w:val="24"/>
          <w:szCs w:val="24"/>
        </w:rPr>
        <w:t xml:space="preserve"> </w:t>
      </w:r>
    </w:p>
    <w:p w:rsidR="005B22C9" w:rsidRPr="005B22C9" w:rsidRDefault="005B22C9" w:rsidP="005B2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color w:val="323E32"/>
          <w:kern w:val="0"/>
          <w:sz w:val="24"/>
          <w:szCs w:val="24"/>
        </w:rPr>
      </w:pPr>
      <w:r w:rsidRPr="005B22C9">
        <w:rPr>
          <w:rFonts w:ascii="宋体" w:eastAsia="宋体" w:hAnsi="宋体" w:cs="宋体"/>
          <w:color w:val="323E32"/>
          <w:kern w:val="0"/>
          <w:sz w:val="24"/>
          <w:szCs w:val="24"/>
        </w:rPr>
        <w:t xml:space="preserve"> </w:t>
      </w:r>
      <w:r w:rsidRPr="005B22C9">
        <w:rPr>
          <w:rFonts w:ascii="宋体" w:eastAsia="宋体" w:hAnsi="宋体" w:cs="宋体"/>
          <w:b/>
          <w:color w:val="323E32"/>
          <w:kern w:val="0"/>
          <w:sz w:val="28"/>
          <w:szCs w:val="28"/>
        </w:rPr>
        <w:t>二、表外勾稽关系</w:t>
      </w:r>
      <w:r w:rsidRPr="005B22C9">
        <w:rPr>
          <w:rFonts w:ascii="宋体" w:eastAsia="宋体" w:hAnsi="宋体" w:cs="宋体"/>
          <w:color w:val="323E32"/>
          <w:kern w:val="0"/>
          <w:sz w:val="24"/>
          <w:szCs w:val="24"/>
        </w:rPr>
        <w:t xml:space="preserve"> </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对于财务报表分析而言，更为重要的另一种不太精确的勾稽关系，即报表中的某些项目之间存在勾稽关系，在某些假设前提和条件下可以构成等式。</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反映的区间上看，现金流量表与损益表是一致的，资产负债表是一个时点报表，而损益表和现金流量表是一个时期报表；从核算方法上看，现金流量表与资产负债表</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损益表存在差异，后两者是权责发生制，前者是收付实现制。损益表可以与资产负债表建立直接的联系，但如果通过现金流量表，往往能找到一些更直接具体的关系，这里重点探讨三张表的勾稽关系，特别是现金流量表在损益表和资产负债表之间的衔接关系。</w:t>
      </w:r>
    </w:p>
    <w:tbl>
      <w:tblPr>
        <w:tblW w:w="4709" w:type="pct"/>
        <w:jc w:val="center"/>
        <w:tblCellSpacing w:w="7" w:type="dxa"/>
        <w:tblInd w:w="-8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15"/>
        <w:gridCol w:w="1769"/>
        <w:gridCol w:w="1763"/>
        <w:gridCol w:w="1958"/>
      </w:tblGrid>
      <w:tr w:rsidR="005B22C9" w:rsidRPr="005B22C9" w:rsidTr="005B22C9">
        <w:trPr>
          <w:trHeight w:val="268"/>
          <w:tblCellSpacing w:w="7" w:type="dxa"/>
          <w:jc w:val="center"/>
        </w:trPr>
        <w:tc>
          <w:tcPr>
            <w:tcW w:w="15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ind w:firstLineChars="200" w:firstLine="482"/>
              <w:jc w:val="center"/>
              <w:rPr>
                <w:rFonts w:ascii="宋体" w:eastAsia="宋体" w:hAnsi="宋体" w:cs="宋体"/>
                <w:color w:val="323E32"/>
                <w:kern w:val="0"/>
                <w:sz w:val="24"/>
                <w:szCs w:val="24"/>
              </w:rPr>
            </w:pPr>
            <w:r w:rsidRPr="005B22C9">
              <w:rPr>
                <w:rFonts w:ascii="宋体" w:eastAsia="宋体" w:hAnsi="宋体" w:cs="宋体"/>
                <w:b/>
                <w:color w:val="323E32"/>
                <w:kern w:val="0"/>
                <w:sz w:val="24"/>
                <w:szCs w:val="21"/>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jc w:val="center"/>
              <w:rPr>
                <w:rFonts w:ascii="宋体" w:eastAsia="宋体" w:hAnsi="宋体" w:cs="宋体"/>
                <w:color w:val="323E32"/>
                <w:kern w:val="0"/>
                <w:sz w:val="24"/>
                <w:szCs w:val="24"/>
              </w:rPr>
            </w:pPr>
            <w:r w:rsidRPr="005B22C9">
              <w:rPr>
                <w:rFonts w:ascii="Times New Roman" w:eastAsia="宋体" w:hAnsi="Times New Roman" w:cs="宋体" w:hint="eastAsia"/>
                <w:b/>
                <w:color w:val="323E32"/>
                <w:kern w:val="0"/>
                <w:sz w:val="24"/>
                <w:szCs w:val="21"/>
              </w:rPr>
              <w:t>资产负债表</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jc w:val="center"/>
              <w:rPr>
                <w:rFonts w:ascii="宋体" w:eastAsia="宋体" w:hAnsi="宋体" w:cs="宋体"/>
                <w:color w:val="323E32"/>
                <w:kern w:val="0"/>
                <w:sz w:val="24"/>
                <w:szCs w:val="24"/>
              </w:rPr>
            </w:pPr>
            <w:r w:rsidRPr="005B22C9">
              <w:rPr>
                <w:rFonts w:ascii="Times New Roman" w:eastAsia="宋体" w:hAnsi="Times New Roman" w:cs="宋体" w:hint="eastAsia"/>
                <w:b/>
                <w:color w:val="323E32"/>
                <w:kern w:val="0"/>
                <w:sz w:val="24"/>
                <w:szCs w:val="21"/>
              </w:rPr>
              <w:t>损益表</w:t>
            </w:r>
          </w:p>
        </w:tc>
        <w:tc>
          <w:tcPr>
            <w:tcW w:w="12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jc w:val="center"/>
              <w:rPr>
                <w:rFonts w:ascii="宋体" w:eastAsia="宋体" w:hAnsi="宋体" w:cs="宋体"/>
                <w:color w:val="323E32"/>
                <w:kern w:val="0"/>
                <w:sz w:val="24"/>
                <w:szCs w:val="24"/>
              </w:rPr>
            </w:pPr>
            <w:r w:rsidRPr="005B22C9">
              <w:rPr>
                <w:rFonts w:ascii="Times New Roman" w:eastAsia="宋体" w:hAnsi="Times New Roman" w:cs="宋体" w:hint="eastAsia"/>
                <w:b/>
                <w:color w:val="323E32"/>
                <w:kern w:val="0"/>
                <w:sz w:val="24"/>
                <w:szCs w:val="21"/>
              </w:rPr>
              <w:t>现金流量表</w:t>
            </w:r>
          </w:p>
        </w:tc>
      </w:tr>
      <w:tr w:rsidR="005B22C9" w:rsidRPr="005B22C9" w:rsidTr="005B22C9">
        <w:trPr>
          <w:tblCellSpacing w:w="7" w:type="dxa"/>
          <w:jc w:val="center"/>
        </w:trPr>
        <w:tc>
          <w:tcPr>
            <w:tcW w:w="15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ind w:firstLineChars="200" w:firstLine="480"/>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lastRenderedPageBreak/>
              <w:t>编制方法</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ind w:firstLineChars="200" w:firstLine="480"/>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t>权责发生制</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t>权责发生制</w:t>
            </w:r>
          </w:p>
        </w:tc>
        <w:tc>
          <w:tcPr>
            <w:tcW w:w="12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t>收付实现制</w:t>
            </w:r>
          </w:p>
        </w:tc>
      </w:tr>
      <w:tr w:rsidR="005B22C9" w:rsidRPr="005B22C9" w:rsidTr="005B22C9">
        <w:trPr>
          <w:tblCellSpacing w:w="7" w:type="dxa"/>
          <w:jc w:val="center"/>
        </w:trPr>
        <w:tc>
          <w:tcPr>
            <w:tcW w:w="15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ind w:firstLineChars="200" w:firstLine="480"/>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t>反映区间</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ind w:firstLineChars="200" w:firstLine="480"/>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t>时点存量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ind w:firstLineChars="200" w:firstLine="480"/>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t>时区增量</w:t>
            </w:r>
          </w:p>
        </w:tc>
        <w:tc>
          <w:tcPr>
            <w:tcW w:w="12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ind w:firstLineChars="200" w:firstLine="480"/>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t>时区增量</w:t>
            </w:r>
          </w:p>
        </w:tc>
      </w:tr>
    </w:tbl>
    <w:p w:rsidR="005B22C9" w:rsidRPr="005B22C9" w:rsidRDefault="005B22C9" w:rsidP="005B22C9">
      <w:pPr>
        <w:widowControl/>
        <w:spacing w:before="100" w:beforeAutospacing="1" w:after="100" w:afterAutospacing="1" w:line="360" w:lineRule="auto"/>
        <w:ind w:firstLineChars="200" w:firstLine="482"/>
        <w:jc w:val="left"/>
        <w:rPr>
          <w:rFonts w:ascii="simsun" w:eastAsia="宋体" w:hAnsi="simsun" w:cs="宋体"/>
          <w:color w:val="323E32"/>
          <w:kern w:val="0"/>
          <w:szCs w:val="21"/>
        </w:rPr>
      </w:pPr>
      <w:r w:rsidRPr="005B22C9">
        <w:rPr>
          <w:rFonts w:ascii="黑体" w:eastAsia="黑体" w:hAnsi="simsun" w:cs="宋体" w:hint="eastAsia"/>
          <w:b/>
          <w:color w:val="323E32"/>
          <w:kern w:val="0"/>
          <w:sz w:val="24"/>
          <w:szCs w:val="24"/>
        </w:rPr>
        <w:t>（一）资产负债表与利润表间勾稽关系</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1</w:t>
      </w:r>
      <w:r w:rsidRPr="005B22C9">
        <w:rPr>
          <w:rFonts w:ascii="Times New Roman" w:eastAsia="宋体" w:hAnsi="Times New Roman" w:cs="宋体" w:hint="eastAsia"/>
          <w:color w:val="323E32"/>
          <w:kern w:val="0"/>
          <w:sz w:val="24"/>
          <w:szCs w:val="24"/>
        </w:rPr>
        <w:t>、根据资产负债表中短期投资、长期投资，复核匡算利润表中“投资收益”的合理性。如关注是否存在资产负债表中没有投资项目而利润表中却列有投资收益，以及投资收益大大超过投资项目的本金等异常情况。</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2</w:t>
      </w:r>
      <w:r w:rsidRPr="005B22C9">
        <w:rPr>
          <w:rFonts w:ascii="Times New Roman" w:eastAsia="宋体" w:hAnsi="Times New Roman" w:cs="宋体" w:hint="eastAsia"/>
          <w:color w:val="323E32"/>
          <w:kern w:val="0"/>
          <w:sz w:val="24"/>
          <w:szCs w:val="24"/>
        </w:rPr>
        <w:t>、根据资产负债表中固定资产、累计折旧金额，复核匡算利润表中“管理费用—折旧费”的合理性。结合生产设备的增减情况和开工率、能耗消耗，分析主营业务收入的变动是否存在产能和能源消耗支撑。</w:t>
      </w:r>
    </w:p>
    <w:p w:rsidR="005B22C9" w:rsidRPr="005B22C9" w:rsidRDefault="005B22C9" w:rsidP="005B22C9">
      <w:pPr>
        <w:widowControl/>
        <w:spacing w:before="100" w:beforeAutospacing="1" w:after="100" w:afterAutospacing="1" w:line="360" w:lineRule="auto"/>
        <w:ind w:firstLineChars="200" w:firstLine="482"/>
        <w:jc w:val="left"/>
        <w:rPr>
          <w:rFonts w:ascii="simsun" w:eastAsia="宋体" w:hAnsi="simsun" w:cs="宋体"/>
          <w:color w:val="323E32"/>
          <w:kern w:val="0"/>
          <w:szCs w:val="21"/>
        </w:rPr>
      </w:pPr>
      <w:r w:rsidRPr="005B22C9">
        <w:rPr>
          <w:rFonts w:ascii="黑体" w:eastAsia="黑体" w:hAnsi="simsun" w:cs="宋体" w:hint="eastAsia"/>
          <w:b/>
          <w:color w:val="323E32"/>
          <w:kern w:val="0"/>
          <w:sz w:val="24"/>
          <w:szCs w:val="24"/>
        </w:rPr>
        <w:t>（二）现金流量表与利润表的勾稽关系</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现金流量表是表面上是说明现金的流转状况，但实质上是从另外一个角度简介反映损益问题，因此可以上现金流量表最主要的作用还是论证和辅助说明损益表。具体关系可以通过现金流量表的编制方法上看出。</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直接法是通过现金收入和支出的主要类别反映来自企业经营活动的现金流量，一般是以损益表中的营业收入为起算点，调整与经营活动有关的项目的增减变动，然后计算出经营活动的现金流量。间接法是以本期净利润为起算点，调整不涉及现金的收入、费用、营业外收支以及有关项目的增减变动，据此计算出经营活动的现金流量。</w:t>
      </w:r>
    </w:p>
    <w:tbl>
      <w:tblPr>
        <w:tblW w:w="4816" w:type="pct"/>
        <w:jc w:val="center"/>
        <w:tblCellSpacing w:w="7" w:type="dxa"/>
        <w:tblInd w:w="-8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40"/>
        <w:gridCol w:w="5545"/>
      </w:tblGrid>
      <w:tr w:rsidR="005B22C9" w:rsidRPr="005B22C9" w:rsidTr="005B22C9">
        <w:trPr>
          <w:tblCellSpacing w:w="7" w:type="dxa"/>
          <w:jc w:val="center"/>
        </w:trPr>
        <w:tc>
          <w:tcPr>
            <w:tcW w:w="15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ind w:firstLineChars="200" w:firstLine="482"/>
              <w:jc w:val="center"/>
              <w:rPr>
                <w:rFonts w:ascii="宋体" w:eastAsia="宋体" w:hAnsi="宋体" w:cs="宋体"/>
                <w:color w:val="323E32"/>
                <w:kern w:val="0"/>
                <w:sz w:val="24"/>
                <w:szCs w:val="24"/>
              </w:rPr>
            </w:pPr>
            <w:r w:rsidRPr="005B22C9">
              <w:rPr>
                <w:rFonts w:ascii="Times New Roman" w:eastAsia="宋体" w:hAnsi="Times New Roman" w:cs="宋体" w:hint="eastAsia"/>
                <w:b/>
                <w:color w:val="323E32"/>
                <w:kern w:val="0"/>
                <w:sz w:val="24"/>
                <w:szCs w:val="21"/>
              </w:rPr>
              <w:t>起点</w:t>
            </w:r>
          </w:p>
        </w:tc>
        <w:tc>
          <w:tcPr>
            <w:tcW w:w="3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ind w:firstLineChars="200" w:firstLine="482"/>
              <w:jc w:val="center"/>
              <w:rPr>
                <w:rFonts w:ascii="宋体" w:eastAsia="宋体" w:hAnsi="宋体" w:cs="宋体"/>
                <w:color w:val="323E32"/>
                <w:kern w:val="0"/>
                <w:sz w:val="24"/>
                <w:szCs w:val="24"/>
              </w:rPr>
            </w:pPr>
            <w:r w:rsidRPr="005B22C9">
              <w:rPr>
                <w:rFonts w:ascii="Times New Roman" w:eastAsia="宋体" w:hAnsi="Times New Roman" w:cs="宋体" w:hint="eastAsia"/>
                <w:b/>
                <w:color w:val="323E32"/>
                <w:kern w:val="0"/>
                <w:sz w:val="24"/>
                <w:szCs w:val="21"/>
              </w:rPr>
              <w:t>净利润</w:t>
            </w:r>
          </w:p>
        </w:tc>
      </w:tr>
      <w:tr w:rsidR="005B22C9" w:rsidRPr="005B22C9" w:rsidTr="005B22C9">
        <w:trPr>
          <w:tblCellSpacing w:w="7" w:type="dxa"/>
          <w:jc w:val="center"/>
        </w:trPr>
        <w:tc>
          <w:tcPr>
            <w:tcW w:w="15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t>剔除非经营性损益，恢复到经营性项目</w:t>
            </w:r>
          </w:p>
        </w:tc>
        <w:tc>
          <w:tcPr>
            <w:tcW w:w="3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t>处置固定资产、无形资产和其他长期资产的损失</w:t>
            </w:r>
            <w:r w:rsidRPr="005B22C9">
              <w:rPr>
                <w:rFonts w:ascii="宋体" w:eastAsia="宋体" w:hAnsi="宋体" w:cs="宋体"/>
                <w:color w:val="323E32"/>
                <w:kern w:val="0"/>
                <w:sz w:val="24"/>
                <w:szCs w:val="21"/>
              </w:rPr>
              <w:t>(</w:t>
            </w:r>
            <w:r w:rsidRPr="005B22C9">
              <w:rPr>
                <w:rFonts w:ascii="Times New Roman" w:eastAsia="宋体" w:hAnsi="Times New Roman" w:cs="宋体" w:hint="eastAsia"/>
                <w:color w:val="323E32"/>
                <w:kern w:val="0"/>
                <w:sz w:val="24"/>
                <w:szCs w:val="21"/>
              </w:rPr>
              <w:t>减：收益</w:t>
            </w:r>
            <w:r w:rsidRPr="005B22C9">
              <w:rPr>
                <w:rFonts w:ascii="宋体" w:eastAsia="宋体" w:hAnsi="宋体" w:cs="宋体"/>
                <w:color w:val="323E32"/>
                <w:kern w:val="0"/>
                <w:sz w:val="24"/>
                <w:szCs w:val="21"/>
              </w:rPr>
              <w:t>)</w:t>
            </w:r>
            <w:r w:rsidRPr="005B22C9">
              <w:rPr>
                <w:rFonts w:ascii="Times New Roman" w:eastAsia="宋体" w:hAnsi="Times New Roman" w:cs="宋体" w:hint="eastAsia"/>
                <w:color w:val="323E32"/>
                <w:kern w:val="0"/>
                <w:sz w:val="24"/>
                <w:szCs w:val="21"/>
              </w:rPr>
              <w:t>＋固定资产报废损失＋财务费用＋投资损失</w:t>
            </w:r>
            <w:r w:rsidRPr="005B22C9">
              <w:rPr>
                <w:rFonts w:ascii="宋体" w:eastAsia="宋体" w:hAnsi="宋体" w:cs="宋体"/>
                <w:color w:val="323E32"/>
                <w:kern w:val="0"/>
                <w:sz w:val="24"/>
                <w:szCs w:val="21"/>
              </w:rPr>
              <w:t>(</w:t>
            </w:r>
            <w:r w:rsidRPr="005B22C9">
              <w:rPr>
                <w:rFonts w:ascii="Times New Roman" w:eastAsia="宋体" w:hAnsi="Times New Roman" w:cs="宋体" w:hint="eastAsia"/>
                <w:color w:val="323E32"/>
                <w:kern w:val="0"/>
                <w:sz w:val="24"/>
                <w:szCs w:val="21"/>
              </w:rPr>
              <w:t>减：收益</w:t>
            </w:r>
            <w:r w:rsidRPr="005B22C9">
              <w:rPr>
                <w:rFonts w:ascii="宋体" w:eastAsia="宋体" w:hAnsi="宋体" w:cs="宋体"/>
                <w:color w:val="323E32"/>
                <w:kern w:val="0"/>
                <w:sz w:val="24"/>
                <w:szCs w:val="21"/>
              </w:rPr>
              <w:t>)</w:t>
            </w:r>
          </w:p>
        </w:tc>
      </w:tr>
      <w:tr w:rsidR="005B22C9" w:rsidRPr="005B22C9" w:rsidTr="005B22C9">
        <w:trPr>
          <w:tblCellSpacing w:w="7" w:type="dxa"/>
          <w:jc w:val="center"/>
        </w:trPr>
        <w:tc>
          <w:tcPr>
            <w:tcW w:w="15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t>调整账务对非付现的处理</w:t>
            </w:r>
          </w:p>
        </w:tc>
        <w:tc>
          <w:tcPr>
            <w:tcW w:w="3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t>＋计提的坏帐准备或转销的坏帐＋当期计提的固定资产折旧＋无形资产摊销＋其他不减少现金的费用、</w:t>
            </w:r>
            <w:r w:rsidRPr="005B22C9">
              <w:rPr>
                <w:rFonts w:ascii="Times New Roman" w:eastAsia="宋体" w:hAnsi="Times New Roman" w:cs="宋体" w:hint="eastAsia"/>
                <w:color w:val="323E32"/>
                <w:kern w:val="0"/>
                <w:sz w:val="24"/>
                <w:szCs w:val="21"/>
              </w:rPr>
              <w:lastRenderedPageBreak/>
              <w:t>损失</w:t>
            </w:r>
          </w:p>
        </w:tc>
      </w:tr>
      <w:tr w:rsidR="005B22C9" w:rsidRPr="005B22C9" w:rsidTr="005B22C9">
        <w:trPr>
          <w:tblCellSpacing w:w="7" w:type="dxa"/>
          <w:jc w:val="center"/>
        </w:trPr>
        <w:tc>
          <w:tcPr>
            <w:tcW w:w="155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lastRenderedPageBreak/>
              <w:t>调整时间性差异</w:t>
            </w:r>
          </w:p>
        </w:tc>
        <w:tc>
          <w:tcPr>
            <w:tcW w:w="3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B22C9" w:rsidRPr="005B22C9" w:rsidRDefault="005B22C9" w:rsidP="005B22C9">
            <w:pPr>
              <w:widowControl/>
              <w:spacing w:before="100" w:beforeAutospacing="1" w:after="100" w:afterAutospacing="1" w:line="360" w:lineRule="auto"/>
              <w:jc w:val="left"/>
              <w:rPr>
                <w:rFonts w:ascii="宋体" w:eastAsia="宋体" w:hAnsi="宋体" w:cs="宋体"/>
                <w:color w:val="323E32"/>
                <w:kern w:val="0"/>
                <w:sz w:val="24"/>
                <w:szCs w:val="24"/>
              </w:rPr>
            </w:pPr>
            <w:r w:rsidRPr="005B22C9">
              <w:rPr>
                <w:rFonts w:ascii="Times New Roman" w:eastAsia="宋体" w:hAnsi="Times New Roman" w:cs="宋体" w:hint="eastAsia"/>
                <w:color w:val="323E32"/>
                <w:kern w:val="0"/>
                <w:sz w:val="24"/>
                <w:szCs w:val="21"/>
              </w:rPr>
              <w:t>递延税款贷项</w:t>
            </w:r>
            <w:r w:rsidRPr="005B22C9">
              <w:rPr>
                <w:rFonts w:ascii="宋体" w:eastAsia="宋体" w:hAnsi="宋体" w:cs="宋体"/>
                <w:color w:val="323E32"/>
                <w:kern w:val="0"/>
                <w:sz w:val="24"/>
                <w:szCs w:val="21"/>
              </w:rPr>
              <w:t>(</w:t>
            </w:r>
            <w:r w:rsidRPr="005B22C9">
              <w:rPr>
                <w:rFonts w:ascii="Times New Roman" w:eastAsia="宋体" w:hAnsi="Times New Roman" w:cs="宋体" w:hint="eastAsia"/>
                <w:color w:val="323E32"/>
                <w:kern w:val="0"/>
                <w:sz w:val="24"/>
                <w:szCs w:val="21"/>
              </w:rPr>
              <w:t>减：借项</w:t>
            </w:r>
            <w:r w:rsidRPr="005B22C9">
              <w:rPr>
                <w:rFonts w:ascii="宋体" w:eastAsia="宋体" w:hAnsi="宋体" w:cs="宋体"/>
                <w:color w:val="323E32"/>
                <w:kern w:val="0"/>
                <w:sz w:val="24"/>
                <w:szCs w:val="21"/>
              </w:rPr>
              <w:t>)</w:t>
            </w:r>
            <w:r w:rsidRPr="005B22C9">
              <w:rPr>
                <w:rFonts w:ascii="Times New Roman" w:eastAsia="宋体" w:hAnsi="Times New Roman" w:cs="宋体" w:hint="eastAsia"/>
                <w:color w:val="323E32"/>
                <w:kern w:val="0"/>
                <w:sz w:val="24"/>
                <w:szCs w:val="21"/>
              </w:rPr>
              <w:t>＋存货的减少</w:t>
            </w:r>
            <w:r w:rsidRPr="005B22C9">
              <w:rPr>
                <w:rFonts w:ascii="宋体" w:eastAsia="宋体" w:hAnsi="宋体" w:cs="宋体"/>
                <w:color w:val="323E32"/>
                <w:kern w:val="0"/>
                <w:sz w:val="24"/>
                <w:szCs w:val="21"/>
              </w:rPr>
              <w:t>(</w:t>
            </w:r>
            <w:r w:rsidRPr="005B22C9">
              <w:rPr>
                <w:rFonts w:ascii="Times New Roman" w:eastAsia="宋体" w:hAnsi="Times New Roman" w:cs="宋体" w:hint="eastAsia"/>
                <w:color w:val="323E32"/>
                <w:kern w:val="0"/>
                <w:sz w:val="24"/>
                <w:szCs w:val="21"/>
              </w:rPr>
              <w:t>减：增加</w:t>
            </w:r>
            <w:r w:rsidRPr="005B22C9">
              <w:rPr>
                <w:rFonts w:ascii="宋体" w:eastAsia="宋体" w:hAnsi="宋体" w:cs="宋体"/>
                <w:color w:val="323E32"/>
                <w:kern w:val="0"/>
                <w:sz w:val="24"/>
                <w:szCs w:val="21"/>
              </w:rPr>
              <w:t>)</w:t>
            </w:r>
            <w:r w:rsidRPr="005B22C9">
              <w:rPr>
                <w:rFonts w:ascii="Times New Roman" w:eastAsia="宋体" w:hAnsi="Times New Roman" w:cs="宋体" w:hint="eastAsia"/>
                <w:color w:val="323E32"/>
                <w:kern w:val="0"/>
                <w:sz w:val="24"/>
                <w:szCs w:val="21"/>
              </w:rPr>
              <w:t>＋经营性应收项目的减少</w:t>
            </w:r>
            <w:r w:rsidRPr="005B22C9">
              <w:rPr>
                <w:rFonts w:ascii="宋体" w:eastAsia="宋体" w:hAnsi="宋体" w:cs="宋体"/>
                <w:color w:val="323E32"/>
                <w:kern w:val="0"/>
                <w:sz w:val="24"/>
                <w:szCs w:val="21"/>
              </w:rPr>
              <w:t>(</w:t>
            </w:r>
            <w:r w:rsidRPr="005B22C9">
              <w:rPr>
                <w:rFonts w:ascii="Times New Roman" w:eastAsia="宋体" w:hAnsi="Times New Roman" w:cs="宋体" w:hint="eastAsia"/>
                <w:color w:val="323E32"/>
                <w:kern w:val="0"/>
                <w:sz w:val="24"/>
                <w:szCs w:val="21"/>
              </w:rPr>
              <w:t>减：增加</w:t>
            </w:r>
            <w:r w:rsidRPr="005B22C9">
              <w:rPr>
                <w:rFonts w:ascii="宋体" w:eastAsia="宋体" w:hAnsi="宋体" w:cs="宋体"/>
                <w:color w:val="323E32"/>
                <w:kern w:val="0"/>
                <w:sz w:val="24"/>
                <w:szCs w:val="21"/>
              </w:rPr>
              <w:t>)</w:t>
            </w:r>
            <w:r w:rsidRPr="005B22C9">
              <w:rPr>
                <w:rFonts w:ascii="Times New Roman" w:eastAsia="宋体" w:hAnsi="Times New Roman" w:cs="宋体" w:hint="eastAsia"/>
                <w:color w:val="323E32"/>
                <w:kern w:val="0"/>
                <w:sz w:val="24"/>
                <w:szCs w:val="21"/>
              </w:rPr>
              <w:t>＋经营性应付项目的增加</w:t>
            </w:r>
            <w:r w:rsidRPr="005B22C9">
              <w:rPr>
                <w:rFonts w:ascii="宋体" w:eastAsia="宋体" w:hAnsi="宋体" w:cs="宋体"/>
                <w:color w:val="323E32"/>
                <w:kern w:val="0"/>
                <w:sz w:val="24"/>
                <w:szCs w:val="21"/>
              </w:rPr>
              <w:t>(</w:t>
            </w:r>
            <w:r w:rsidRPr="005B22C9">
              <w:rPr>
                <w:rFonts w:ascii="Times New Roman" w:eastAsia="宋体" w:hAnsi="Times New Roman" w:cs="宋体" w:hint="eastAsia"/>
                <w:color w:val="323E32"/>
                <w:kern w:val="0"/>
                <w:sz w:val="24"/>
                <w:szCs w:val="21"/>
              </w:rPr>
              <w:t>减：减少</w:t>
            </w:r>
            <w:r w:rsidRPr="005B22C9">
              <w:rPr>
                <w:rFonts w:ascii="宋体" w:eastAsia="宋体" w:hAnsi="宋体" w:cs="宋体"/>
                <w:color w:val="323E32"/>
                <w:kern w:val="0"/>
                <w:sz w:val="24"/>
                <w:szCs w:val="21"/>
              </w:rPr>
              <w:t>)</w:t>
            </w:r>
            <w:r w:rsidRPr="005B22C9">
              <w:rPr>
                <w:rFonts w:ascii="Times New Roman" w:eastAsia="宋体" w:hAnsi="Times New Roman" w:cs="宋体" w:hint="eastAsia"/>
                <w:color w:val="323E32"/>
                <w:kern w:val="0"/>
                <w:sz w:val="24"/>
                <w:szCs w:val="21"/>
              </w:rPr>
              <w:t>＋增值税增加净额</w:t>
            </w:r>
            <w:r w:rsidRPr="005B22C9">
              <w:rPr>
                <w:rFonts w:ascii="宋体" w:eastAsia="宋体" w:hAnsi="宋体" w:cs="宋体"/>
                <w:color w:val="323E32"/>
                <w:kern w:val="0"/>
                <w:sz w:val="24"/>
                <w:szCs w:val="21"/>
              </w:rPr>
              <w:t>(</w:t>
            </w:r>
            <w:r w:rsidRPr="005B22C9">
              <w:rPr>
                <w:rFonts w:ascii="Times New Roman" w:eastAsia="宋体" w:hAnsi="Times New Roman" w:cs="宋体" w:hint="eastAsia"/>
                <w:color w:val="323E32"/>
                <w:kern w:val="0"/>
                <w:sz w:val="24"/>
                <w:szCs w:val="21"/>
              </w:rPr>
              <w:t>减：减少净额</w:t>
            </w:r>
            <w:r w:rsidRPr="005B22C9">
              <w:rPr>
                <w:rFonts w:ascii="宋体" w:eastAsia="宋体" w:hAnsi="宋体" w:cs="宋体"/>
                <w:color w:val="323E32"/>
                <w:kern w:val="0"/>
                <w:sz w:val="24"/>
                <w:szCs w:val="21"/>
              </w:rPr>
              <w:t>)</w:t>
            </w:r>
          </w:p>
        </w:tc>
      </w:tr>
    </w:tbl>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如：利润表中的“营业收入”、现金流量表中的“销售商品、提供劳务收到的现金”、资产负债表中的“应收账款”等项目之间存在勾稽关系；（可以简单估算：</w:t>
      </w:r>
      <w:r w:rsidRPr="005B22C9">
        <w:rPr>
          <w:rFonts w:ascii="Times New Roman" w:eastAsia="宋体" w:hAnsi="Times New Roman" w:cs="宋体" w:hint="eastAsia"/>
          <w:b/>
          <w:bCs/>
          <w:color w:val="FF0000"/>
          <w:kern w:val="0"/>
          <w:sz w:val="24"/>
          <w:szCs w:val="24"/>
        </w:rPr>
        <w:t>营业收入</w:t>
      </w:r>
      <w:r w:rsidRPr="005B22C9">
        <w:rPr>
          <w:rFonts w:ascii="simsun" w:eastAsia="宋体" w:hAnsi="simsun" w:cs="宋体"/>
          <w:b/>
          <w:bCs/>
          <w:color w:val="FF0000"/>
          <w:kern w:val="0"/>
          <w:sz w:val="24"/>
          <w:szCs w:val="24"/>
        </w:rPr>
        <w:t>--</w:t>
      </w:r>
      <w:r w:rsidRPr="005B22C9">
        <w:rPr>
          <w:rFonts w:ascii="Times New Roman" w:eastAsia="宋体" w:hAnsi="Times New Roman" w:cs="宋体" w:hint="eastAsia"/>
          <w:b/>
          <w:bCs/>
          <w:color w:val="FF0000"/>
          <w:kern w:val="0"/>
          <w:sz w:val="24"/>
          <w:szCs w:val="24"/>
        </w:rPr>
        <w:t>应收账款</w:t>
      </w:r>
      <w:r w:rsidRPr="005B22C9">
        <w:rPr>
          <w:rFonts w:ascii="simsun" w:eastAsia="宋体" w:hAnsi="simsun" w:cs="宋体"/>
          <w:b/>
          <w:bCs/>
          <w:color w:val="FF0000"/>
          <w:kern w:val="0"/>
          <w:sz w:val="24"/>
          <w:szCs w:val="24"/>
        </w:rPr>
        <w:t>=</w:t>
      </w:r>
      <w:r w:rsidRPr="005B22C9">
        <w:rPr>
          <w:rFonts w:ascii="Times New Roman" w:eastAsia="宋体" w:hAnsi="Times New Roman" w:cs="宋体" w:hint="eastAsia"/>
          <w:b/>
          <w:bCs/>
          <w:color w:val="FF0000"/>
          <w:kern w:val="0"/>
          <w:sz w:val="24"/>
          <w:szCs w:val="24"/>
        </w:rPr>
        <w:t>销售商品、提供劳务收到的现金，当然，还要考虑应交税费中的有关税金的变动数）</w:t>
      </w:r>
      <w:r w:rsidRPr="005B22C9">
        <w:rPr>
          <w:rFonts w:ascii="Times New Roman" w:eastAsia="宋体" w:hAnsi="Times New Roman" w:cs="宋体" w:hint="eastAsia"/>
          <w:color w:val="323E32"/>
          <w:kern w:val="0"/>
          <w:sz w:val="24"/>
          <w:szCs w:val="24"/>
        </w:rPr>
        <w:t>利润表中的“主营业务成本”、现金流量表中的“购买商品、接受劳务支付的现金”、资产负债表中的“应付账款”等项目之间存在的勾稽关系。购买商品、接受劳务支付现金≈</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主营业务成本</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其他业务成本</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存货增加额</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w:t>
      </w:r>
      <w:r w:rsidRPr="005B22C9">
        <w:rPr>
          <w:rFonts w:ascii="simsun" w:eastAsia="宋体" w:hAnsi="simsun" w:cs="宋体"/>
          <w:color w:val="323E32"/>
          <w:kern w:val="0"/>
          <w:sz w:val="24"/>
          <w:szCs w:val="24"/>
        </w:rPr>
        <w:t>(1+17</w:t>
      </w:r>
      <w:r w:rsidRPr="005B22C9">
        <w:rPr>
          <w:rFonts w:ascii="Times New Roman" w:eastAsia="宋体" w:hAnsi="Times New Roman" w:cs="宋体" w:hint="eastAsia"/>
          <w:color w:val="323E32"/>
          <w:kern w:val="0"/>
          <w:sz w:val="24"/>
          <w:szCs w:val="24"/>
        </w:rPr>
        <w:t>％</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预付账款增加额</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应付账款增加额</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应付票据增加额。</w:t>
      </w:r>
    </w:p>
    <w:p w:rsidR="005B22C9" w:rsidRPr="005B22C9" w:rsidRDefault="005B22C9" w:rsidP="005B22C9">
      <w:pPr>
        <w:widowControl/>
        <w:spacing w:before="100" w:beforeAutospacing="1" w:after="100" w:afterAutospacing="1" w:line="360" w:lineRule="auto"/>
        <w:ind w:firstLineChars="200" w:firstLine="482"/>
        <w:jc w:val="left"/>
        <w:rPr>
          <w:rFonts w:ascii="simsun" w:eastAsia="宋体" w:hAnsi="simsun" w:cs="宋体"/>
          <w:color w:val="323E32"/>
          <w:kern w:val="0"/>
          <w:szCs w:val="21"/>
        </w:rPr>
      </w:pPr>
      <w:r w:rsidRPr="005B22C9">
        <w:rPr>
          <w:rFonts w:ascii="黑体" w:eastAsia="黑体" w:hAnsi="simsun" w:cs="宋体" w:hint="eastAsia"/>
          <w:b/>
          <w:color w:val="323E32"/>
          <w:kern w:val="0"/>
          <w:sz w:val="24"/>
          <w:szCs w:val="24"/>
        </w:rPr>
        <w:t>（三）现金流量表与资产负债表的勾稽关系</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资产负债表同现金流量表之间的关系，主要是资产负债表的现金，银行存款及其他货币资金等项目的期末数减去期初数，应该等于现金流量表最后的现金及现金等价物净流量。</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1</w:t>
      </w:r>
      <w:r w:rsidRPr="005B22C9">
        <w:rPr>
          <w:rFonts w:ascii="Times New Roman" w:eastAsia="宋体" w:hAnsi="Times New Roman" w:cs="宋体" w:hint="eastAsia"/>
          <w:color w:val="323E32"/>
          <w:kern w:val="0"/>
          <w:sz w:val="24"/>
          <w:szCs w:val="24"/>
        </w:rPr>
        <w:t>、公司经营现金流的各个组成部分反映了现金流量的质量，以现金纯收入和非现金收入表费用（如折旧）调整为基础的现金流通常是最受到欢迎的，而延长应付账款，或者大量提前吸收预付账款，或税收优惠增加的现金流量最终会损害上下游产业链关系，从投资者面前不是一种可持续发展的表现。</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2</w:t>
      </w:r>
      <w:r w:rsidRPr="005B22C9">
        <w:rPr>
          <w:rFonts w:ascii="Times New Roman" w:eastAsia="宋体" w:hAnsi="Times New Roman" w:cs="宋体" w:hint="eastAsia"/>
          <w:color w:val="323E32"/>
          <w:kern w:val="0"/>
          <w:sz w:val="24"/>
          <w:szCs w:val="24"/>
        </w:rPr>
        <w:t>、资产负债表中应付职工薪酬期初期末余额数字为企业已计提尚未支付给职工的现金，现金流量表中的数字为企业本期支付给职工薪酬总额，单纯从资产负债表中看不出两者的钩稽关系，但是目前企业财务报表附注中都要求对应付职工薪酬科目进行详细披露本年发生额，本年计提额。资产负债表中应付职工薪酬本年发生额除了支付与企业经营活动有关人员的现金外，还包含本年支付给在建工程人员的工资。因此，现金流量表中支付给职工以及为职工支付的现金额应小于或等于应付职工薪酬中的本年发生额，即应付职工薪酬借方发生额。</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lastRenderedPageBreak/>
        <w:t>3</w:t>
      </w:r>
      <w:r w:rsidRPr="005B22C9">
        <w:rPr>
          <w:rFonts w:ascii="Times New Roman" w:eastAsia="宋体" w:hAnsi="Times New Roman" w:cs="宋体" w:hint="eastAsia"/>
          <w:color w:val="323E32"/>
          <w:kern w:val="0"/>
          <w:sz w:val="24"/>
          <w:szCs w:val="24"/>
        </w:rPr>
        <w:t>、如：</w:t>
      </w:r>
      <w:r w:rsidRPr="005B22C9">
        <w:rPr>
          <w:rFonts w:ascii="Times New Roman" w:eastAsia="宋体" w:hAnsi="Times New Roman" w:cs="宋体" w:hint="eastAsia"/>
          <w:color w:val="FF0000"/>
          <w:kern w:val="0"/>
          <w:sz w:val="24"/>
          <w:szCs w:val="24"/>
        </w:rPr>
        <w:t>现金流量表中的“现金及现金等价物净增加额”一般与资产负债表“货币资金”年末数年初数之差相等，前提是企业不存在现金等价物。同理的，现金流量表中的“期初现金及现金等价物余额”、“期末现金及现金等价物余额”就分别等于资产负债表中的“货币资金”的年初余额、期末余额。</w:t>
      </w:r>
    </w:p>
    <w:p w:rsidR="005B22C9" w:rsidRPr="005B22C9" w:rsidRDefault="005B22C9" w:rsidP="005B2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color w:val="323E32"/>
          <w:kern w:val="0"/>
          <w:sz w:val="24"/>
          <w:szCs w:val="24"/>
        </w:rPr>
      </w:pPr>
      <w:r w:rsidRPr="005B22C9">
        <w:rPr>
          <w:rFonts w:ascii="宋体" w:eastAsia="宋体" w:hAnsi="宋体" w:cs="宋体"/>
          <w:color w:val="323E32"/>
          <w:kern w:val="0"/>
          <w:sz w:val="24"/>
          <w:szCs w:val="24"/>
        </w:rPr>
        <w:t xml:space="preserve"> </w:t>
      </w:r>
      <w:r w:rsidRPr="005B22C9">
        <w:rPr>
          <w:rFonts w:ascii="宋体" w:eastAsia="宋体" w:hAnsi="宋体" w:cs="宋体"/>
          <w:b/>
          <w:color w:val="323E32"/>
          <w:kern w:val="0"/>
          <w:sz w:val="28"/>
          <w:szCs w:val="28"/>
        </w:rPr>
        <w:t>三、勾稽关系举例</w:t>
      </w:r>
      <w:r w:rsidRPr="005B22C9">
        <w:rPr>
          <w:rFonts w:ascii="宋体" w:eastAsia="宋体" w:hAnsi="宋体" w:cs="宋体"/>
          <w:color w:val="323E32"/>
          <w:kern w:val="0"/>
          <w:sz w:val="24"/>
          <w:szCs w:val="24"/>
        </w:rPr>
        <w:t xml:space="preserve"> </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1</w:t>
      </w:r>
      <w:r w:rsidRPr="005B22C9">
        <w:rPr>
          <w:rFonts w:ascii="Times New Roman" w:eastAsia="宋体" w:hAnsi="Times New Roman" w:cs="宋体" w:hint="eastAsia"/>
          <w:color w:val="323E32"/>
          <w:kern w:val="0"/>
          <w:sz w:val="24"/>
          <w:szCs w:val="24"/>
        </w:rPr>
        <w:t>、资产负债表中期末“未分配利润”</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损益表中“净利润”</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资产负债表中“未分配利润”的年初数。</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2</w:t>
      </w:r>
      <w:r w:rsidRPr="005B22C9">
        <w:rPr>
          <w:rFonts w:ascii="Times New Roman" w:eastAsia="宋体" w:hAnsi="Times New Roman" w:cs="宋体" w:hint="eastAsia"/>
          <w:color w:val="323E32"/>
          <w:kern w:val="0"/>
          <w:sz w:val="24"/>
          <w:szCs w:val="24"/>
        </w:rPr>
        <w:t>、资产负债表中期末“应交税费”</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应交增值税（按损益表计算本期应交增值税）</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应交城建税教育附加（按损益表计算本期应交各项税费）</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应交所得税（按损益表计算本期应交所得税）。这几项还必须与现金流量表中支付的各项税费项目相等。</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3</w:t>
      </w:r>
      <w:r w:rsidRPr="005B22C9">
        <w:rPr>
          <w:rFonts w:ascii="Times New Roman" w:eastAsia="宋体" w:hAnsi="Times New Roman" w:cs="宋体" w:hint="eastAsia"/>
          <w:color w:val="323E32"/>
          <w:kern w:val="0"/>
          <w:sz w:val="24"/>
          <w:szCs w:val="24"/>
        </w:rPr>
        <w:t>、现金流量表中的“现金及现金等价物净额”</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资产负责表中“货币资金”期末金额－期初金额</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4</w:t>
      </w:r>
      <w:r w:rsidRPr="005B22C9">
        <w:rPr>
          <w:rFonts w:ascii="Times New Roman" w:eastAsia="宋体" w:hAnsi="Times New Roman" w:cs="宋体" w:hint="eastAsia"/>
          <w:color w:val="323E32"/>
          <w:kern w:val="0"/>
          <w:sz w:val="24"/>
          <w:szCs w:val="24"/>
        </w:rPr>
        <w:t>、现金流量表中“销售商品、提供劳务收到的现金”</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损益表中“主营业务收入”</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“其他业务收入”</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按损益表中（“主营业务收入”</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“其他业务收入”）计算的应交税金（应交增值税——销项税额（参照前面计算方法得来））</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资产负债表中（“应收账款”期初数－“应收账款”期末数）</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（“应收票据”期初数－“应收票据”期末数）</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（“预收账款”期末数－“预收账款”期初数）－当期计提的“坏账准备”。</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5</w:t>
      </w:r>
      <w:r w:rsidRPr="005B22C9">
        <w:rPr>
          <w:rFonts w:ascii="Times New Roman" w:eastAsia="宋体" w:hAnsi="Times New Roman" w:cs="宋体" w:hint="eastAsia"/>
          <w:color w:val="323E32"/>
          <w:kern w:val="0"/>
          <w:sz w:val="24"/>
          <w:szCs w:val="24"/>
        </w:rPr>
        <w:t>、现金流量表中“购买商品、接受劳务支付的现金”</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损益表中“主营业务成本”</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“其他支出支出”</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资产负债表中“存货”期末价值－“存货”期初价值）</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应交税金（应交增值税——进项税额（参照前面计算方法得来））</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（“应付账款”期初数－“应付账款”期末数）</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（“应付票据”期初数－“应付票据”期末数）</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（“预付账款”期末数－“预付账款”期初数）</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lastRenderedPageBreak/>
        <w:t>6</w:t>
      </w:r>
      <w:r w:rsidRPr="005B22C9">
        <w:rPr>
          <w:rFonts w:ascii="Times New Roman" w:eastAsia="宋体" w:hAnsi="Times New Roman" w:cs="宋体" w:hint="eastAsia"/>
          <w:color w:val="323E32"/>
          <w:kern w:val="0"/>
          <w:sz w:val="24"/>
          <w:szCs w:val="24"/>
        </w:rPr>
        <w:t>、现金流量表中“支付给职工及为职工支付的现金”</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资产负债表中“应付工资”期末数</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期初数</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“应付福利费”期末数－期初数（现在统一在“应付职工薪酬”中核算）</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本期为职工支付的工资和福利总额。（包含在销售费用，管理费用里面）</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7</w:t>
      </w:r>
      <w:r w:rsidRPr="005B22C9">
        <w:rPr>
          <w:rFonts w:ascii="Times New Roman" w:eastAsia="宋体" w:hAnsi="Times New Roman" w:cs="宋体" w:hint="eastAsia"/>
          <w:color w:val="323E32"/>
          <w:kern w:val="0"/>
          <w:sz w:val="24"/>
          <w:szCs w:val="24"/>
        </w:rPr>
        <w:t>、现金流量表中“支付的各项税费（不包括耕地占用税及退回的增值税所得税）”</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损益表中“所得税”</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“主营业务税金及附加”</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“应交税金（应交增值税－已交税金）（本期损益表中营业收入计算的各项税费）”</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8</w:t>
      </w:r>
      <w:r w:rsidRPr="005B22C9">
        <w:rPr>
          <w:rFonts w:ascii="Times New Roman" w:eastAsia="宋体" w:hAnsi="Times New Roman" w:cs="宋体" w:hint="eastAsia"/>
          <w:color w:val="323E32"/>
          <w:kern w:val="0"/>
          <w:sz w:val="24"/>
          <w:szCs w:val="24"/>
        </w:rPr>
        <w:t>、现金流量表中“支付的其他与经营活动有关的现金”</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剔除各项因素后的费用：损益表中“管理费用</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销售费用</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营业外收入－营业外支出”－资产负债表中</w:t>
      </w:r>
      <w:r w:rsidRPr="005B22C9">
        <w:rPr>
          <w:rFonts w:ascii="Times New Roman" w:eastAsia="宋体" w:hAnsi="Times New Roman" w:cs="宋体" w:hint="eastAsia"/>
          <w:color w:val="FF0000"/>
          <w:kern w:val="0"/>
          <w:sz w:val="24"/>
          <w:szCs w:val="24"/>
        </w:rPr>
        <w:t>“累计折旧”增加额（期末数－斯初数）（也就是计入各项费用的折旧，这部分是没有在本期支付现金的）”－费用中的工资（已在“为职工支付的现金”中反映）。</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9</w:t>
      </w:r>
      <w:r w:rsidRPr="005B22C9">
        <w:rPr>
          <w:rFonts w:ascii="Times New Roman" w:eastAsia="宋体" w:hAnsi="Times New Roman" w:cs="宋体" w:hint="eastAsia"/>
          <w:color w:val="323E32"/>
          <w:kern w:val="0"/>
          <w:sz w:val="24"/>
          <w:szCs w:val="24"/>
        </w:rPr>
        <w:t>、现金流量表中“收回或支付投资所收到或支付的现金”</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资产负债表中“短期投资”初和各项长期投资科目的变动数。</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10</w:t>
      </w:r>
      <w:r w:rsidRPr="005B22C9">
        <w:rPr>
          <w:rFonts w:ascii="Times New Roman" w:eastAsia="宋体" w:hAnsi="Times New Roman" w:cs="宋体" w:hint="eastAsia"/>
          <w:color w:val="323E32"/>
          <w:kern w:val="0"/>
          <w:sz w:val="24"/>
          <w:szCs w:val="24"/>
        </w:rPr>
        <w:t>、现金流量表中“分得股利，债券利息所收到的现金”</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损益表中“投资收益”本期发生额－资产负债表中“应收股利”期末数－期初数－“应收利息”期末数－期初数。</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simsun" w:eastAsia="宋体" w:hAnsi="simsun" w:cs="宋体"/>
          <w:color w:val="323E32"/>
          <w:kern w:val="0"/>
          <w:sz w:val="24"/>
          <w:szCs w:val="24"/>
        </w:rPr>
        <w:t>11</w:t>
      </w:r>
      <w:r w:rsidRPr="005B22C9">
        <w:rPr>
          <w:rFonts w:ascii="Times New Roman" w:eastAsia="宋体" w:hAnsi="Times New Roman" w:cs="宋体" w:hint="eastAsia"/>
          <w:color w:val="323E32"/>
          <w:kern w:val="0"/>
          <w:sz w:val="24"/>
          <w:szCs w:val="24"/>
        </w:rPr>
        <w:t>、现金流量表中“处置或购置固定资产、无形资产及其它资产收到或支付的现金”</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资产负债表中“固定资产”</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“在建工程”</w:t>
      </w:r>
      <w:r w:rsidRPr="005B22C9">
        <w:rPr>
          <w:rFonts w:ascii="simsun" w:eastAsia="宋体" w:hAnsi="simsun" w:cs="宋体"/>
          <w:color w:val="323E32"/>
          <w:kern w:val="0"/>
          <w:sz w:val="24"/>
          <w:szCs w:val="24"/>
        </w:rPr>
        <w:t>+</w:t>
      </w:r>
      <w:r w:rsidRPr="005B22C9">
        <w:rPr>
          <w:rFonts w:ascii="Times New Roman" w:eastAsia="宋体" w:hAnsi="Times New Roman" w:cs="宋体" w:hint="eastAsia"/>
          <w:color w:val="323E32"/>
          <w:kern w:val="0"/>
          <w:sz w:val="24"/>
          <w:szCs w:val="24"/>
        </w:rPr>
        <w:t>“无形资产”等其他科目变动额（增加了计入收到的现金流量中，减少了计入支付的现金流量中）。</w:t>
      </w:r>
    </w:p>
    <w:p w:rsidR="005B22C9" w:rsidRPr="005B22C9" w:rsidRDefault="005B22C9" w:rsidP="005B2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color w:val="323E32"/>
          <w:kern w:val="0"/>
          <w:sz w:val="24"/>
          <w:szCs w:val="24"/>
        </w:rPr>
      </w:pPr>
      <w:r w:rsidRPr="005B22C9">
        <w:rPr>
          <w:rFonts w:ascii="宋体" w:eastAsia="宋体" w:hAnsi="宋体" w:cs="宋体"/>
          <w:color w:val="323E32"/>
          <w:kern w:val="0"/>
          <w:sz w:val="24"/>
          <w:szCs w:val="24"/>
        </w:rPr>
        <w:t xml:space="preserve"> </w:t>
      </w:r>
      <w:r w:rsidRPr="005B22C9">
        <w:rPr>
          <w:rFonts w:ascii="宋体" w:eastAsia="宋体" w:hAnsi="宋体" w:cs="宋体"/>
          <w:b/>
          <w:color w:val="323E32"/>
          <w:kern w:val="0"/>
          <w:sz w:val="28"/>
          <w:szCs w:val="28"/>
        </w:rPr>
        <w:t>三、勾稽关系的破坏与修复</w:t>
      </w:r>
      <w:r w:rsidRPr="005B22C9">
        <w:rPr>
          <w:rFonts w:ascii="宋体" w:eastAsia="宋体" w:hAnsi="宋体" w:cs="宋体"/>
          <w:color w:val="323E32"/>
          <w:kern w:val="0"/>
          <w:sz w:val="24"/>
          <w:szCs w:val="24"/>
        </w:rPr>
        <w:t xml:space="preserve"> </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报表分析者需要掌握，在何种情况下这些项目之间会构成等式，在何种情况下这些项目之间无法构成等式，在何种情况下这些项目之间的勾稽关系会被破坏。（这种破坏，是可以修复的，可以根据具体经济业务具体分析）分析者应该考察</w:t>
      </w:r>
      <w:r w:rsidRPr="005B22C9">
        <w:rPr>
          <w:rFonts w:ascii="Times New Roman" w:eastAsia="宋体" w:hAnsi="Times New Roman" w:cs="宋体" w:hint="eastAsia"/>
          <w:color w:val="323E32"/>
          <w:kern w:val="0"/>
          <w:sz w:val="24"/>
          <w:szCs w:val="24"/>
        </w:rPr>
        <w:lastRenderedPageBreak/>
        <w:t>报表中这些相关项目之间的关系，并从报表及报表附注中发现相关证据，进而形成对分析对象的判断。</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楷体" w:eastAsia="楷体" w:hAnsi="simsun" w:cs="宋体" w:hint="eastAsia"/>
          <w:color w:val="323E32"/>
          <w:kern w:val="0"/>
          <w:sz w:val="24"/>
          <w:szCs w:val="24"/>
        </w:rPr>
        <w:t>例：一位股票投资者在阅读上市公司年报中发现了一个有趣的问题。在某上市公司2004年的年报中，利润表中2004年主营业务收入为6.52亿元，现金流量表中2004年销售商品、提供劳务收到的现金为5.23亿元，收入与现金流相差1亿多元；同时在资产负债表中，公司2004年年末的应收票据、应收账款合计只有近0.14亿元。这使这位分析者产生了疑惑，近一个亿的收入为什么在现金流量表与资产负债表中未能体现出来？究竟是该公司的报表存在问题，还是什么原因？</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这位分析者注意到了三张表之间的勾稽关系。他的基本思路是：对于利润表中所实现的“主营业务收入”，企业要么收到现金，则反映于现金流量表中的“销售商品、提供劳务收到的现金”，要么形成应收款项，反映于资产负债表中的“应收账款”和“应收票据”。</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但是，正如前面所指出的那样，这种勾稽关系的成立依赖于某些前提条件。导致上述情形出现的常见原因有以下几类：</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①</w:t>
      </w:r>
      <w:r w:rsidRPr="005B22C9">
        <w:rPr>
          <w:rFonts w:ascii="simsun" w:eastAsia="宋体" w:hAnsi="simsun" w:cs="宋体"/>
          <w:color w:val="323E32"/>
          <w:kern w:val="0"/>
          <w:szCs w:val="21"/>
        </w:rPr>
        <w:t xml:space="preserve"> </w:t>
      </w:r>
      <w:r w:rsidRPr="005B22C9">
        <w:rPr>
          <w:rFonts w:ascii="Times New Roman" w:eastAsia="宋体" w:hAnsi="Times New Roman" w:cs="宋体" w:hint="eastAsia"/>
          <w:color w:val="323E32"/>
          <w:kern w:val="0"/>
          <w:sz w:val="24"/>
          <w:szCs w:val="24"/>
        </w:rPr>
        <w:t>企业在确认主营业务收入时，既没有收到现金流，也没有确认应收账款或应收票据。</w:t>
      </w:r>
      <w:r w:rsidRPr="005B22C9">
        <w:rPr>
          <w:rFonts w:ascii="Times New Roman" w:eastAsia="宋体" w:hAnsi="Times New Roman" w:cs="宋体" w:hint="eastAsia"/>
          <w:color w:val="FF0000"/>
          <w:kern w:val="0"/>
          <w:sz w:val="24"/>
          <w:szCs w:val="24"/>
        </w:rPr>
        <w:t>如，企业在确认主营业务收入时冲减了“应付账款”；企业在确认主营业务收入时冲减了以前年度的“预收账款”；企业在补偿贸易方式下确认主营业务收入时冲减了“长期应付款”；企业用以货易货方式进行交易，但不符合非货币性交易的标准（补价高于</w:t>
      </w:r>
      <w:r w:rsidRPr="005B22C9">
        <w:rPr>
          <w:rFonts w:ascii="simsun" w:eastAsia="宋体" w:hAnsi="simsun" w:cs="宋体"/>
          <w:color w:val="FF0000"/>
          <w:kern w:val="0"/>
          <w:sz w:val="24"/>
          <w:szCs w:val="24"/>
        </w:rPr>
        <w:t>25</w:t>
      </w:r>
      <w:r w:rsidRPr="005B22C9">
        <w:rPr>
          <w:rFonts w:ascii="Times New Roman" w:eastAsia="宋体" w:hAnsi="Times New Roman" w:cs="宋体" w:hint="eastAsia"/>
          <w:color w:val="FF0000"/>
          <w:kern w:val="0"/>
          <w:sz w:val="24"/>
          <w:szCs w:val="24"/>
        </w:rPr>
        <w:t>％）等等。</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②</w:t>
      </w:r>
      <w:r w:rsidRPr="005B22C9">
        <w:rPr>
          <w:rFonts w:ascii="simsun" w:eastAsia="宋体" w:hAnsi="simsun" w:cs="宋体"/>
          <w:color w:val="323E32"/>
          <w:kern w:val="0"/>
          <w:szCs w:val="21"/>
        </w:rPr>
        <w:t xml:space="preserve"> </w:t>
      </w:r>
      <w:r w:rsidRPr="005B22C9">
        <w:rPr>
          <w:rFonts w:ascii="Times New Roman" w:eastAsia="宋体" w:hAnsi="Times New Roman" w:cs="宋体" w:hint="eastAsia"/>
          <w:color w:val="323E32"/>
          <w:kern w:val="0"/>
          <w:sz w:val="24"/>
          <w:szCs w:val="24"/>
        </w:rPr>
        <w:t>企业在确认主营业务收入时，同时确认了应收账款或应收票据，但是其后应收账款或应收票据的余额减少时，企业并非全部收到现金</w:t>
      </w:r>
      <w:r w:rsidRPr="005B22C9">
        <w:rPr>
          <w:rFonts w:ascii="Times New Roman" w:eastAsia="宋体" w:hAnsi="Times New Roman" w:cs="宋体" w:hint="eastAsia"/>
          <w:color w:val="FF0000"/>
          <w:kern w:val="0"/>
          <w:sz w:val="24"/>
          <w:szCs w:val="24"/>
        </w:rPr>
        <w:t>（注意报表中“应收账款”项目是应收账款余额扣除坏账准备后的应收账款账面价值）</w:t>
      </w:r>
      <w:r w:rsidRPr="005B22C9">
        <w:rPr>
          <w:rFonts w:ascii="Times New Roman" w:eastAsia="宋体" w:hAnsi="Times New Roman" w:cs="宋体" w:hint="eastAsia"/>
          <w:color w:val="323E32"/>
          <w:kern w:val="0"/>
          <w:sz w:val="24"/>
          <w:szCs w:val="24"/>
        </w:rPr>
        <w:t>。如：对应收账款计提了坏账准备；企业对应收账款进行债务重组，对方以非现金资产抵偿债务或者以低于债务面值的现金抵偿债务；企业年内发生清产核资，将债务人所欠债务予以核销；企业利用应收账款进行对外投资；企业将应收账款出售，售价低于面值；企业将应收票据贴现，贴现所获金额低于面值；企业给予客户现金折</w:t>
      </w:r>
      <w:r w:rsidRPr="005B22C9">
        <w:rPr>
          <w:rFonts w:ascii="Times New Roman" w:eastAsia="宋体" w:hAnsi="Times New Roman" w:cs="宋体" w:hint="eastAsia"/>
          <w:color w:val="323E32"/>
          <w:kern w:val="0"/>
          <w:sz w:val="24"/>
          <w:szCs w:val="24"/>
        </w:rPr>
        <w:lastRenderedPageBreak/>
        <w:t>扣，收到货款时折扣部分计入了财务费用；企业委托代销产品，</w:t>
      </w:r>
      <w:r w:rsidRPr="005B22C9">
        <w:rPr>
          <w:rFonts w:ascii="Times New Roman" w:eastAsia="宋体" w:hAnsi="Times New Roman" w:cs="宋体" w:hint="eastAsia"/>
          <w:color w:val="FF0000"/>
          <w:kern w:val="0"/>
          <w:sz w:val="24"/>
          <w:szCs w:val="24"/>
        </w:rPr>
        <w:t>按照应支付的代销手续费，借记“营业费用”，同时冲减了应收账款等等。</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③</w:t>
      </w:r>
      <w:r w:rsidRPr="005B22C9">
        <w:rPr>
          <w:rFonts w:ascii="simsun" w:eastAsia="宋体" w:hAnsi="simsun" w:cs="宋体"/>
          <w:color w:val="323E32"/>
          <w:kern w:val="0"/>
          <w:szCs w:val="21"/>
        </w:rPr>
        <w:t xml:space="preserve"> </w:t>
      </w:r>
      <w:r w:rsidRPr="005B22C9">
        <w:rPr>
          <w:rFonts w:ascii="Times New Roman" w:eastAsia="宋体" w:hAnsi="Times New Roman" w:cs="宋体" w:hint="eastAsia"/>
          <w:color w:val="323E32"/>
          <w:kern w:val="0"/>
          <w:sz w:val="24"/>
          <w:szCs w:val="24"/>
        </w:rPr>
        <w:t>企业合并报表范围发生了变化所致。如，企业在年中将年初纳入合并报表的子公司出售（或降低持股比例至合并要求之下），则在年末编制合并利润表时将子公司出售前的利润表纳入合并范围，但资产负债表没有纳入，故此使得勾稽关系不成立。</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分析者可以通过阅读报表及相关附注证实或证伪上述三类原因的存在。如果没有发现上述原因及其他特殊原因存在的证据，那么很有可能是该公司的报表存在问题，则分析者需要重点关注该公司的收入确认、应收账款与其他应收款、现金流量的归类等。</w:t>
      </w:r>
    </w:p>
    <w:p w:rsidR="005B22C9" w:rsidRPr="005B22C9" w:rsidRDefault="005B22C9" w:rsidP="005B22C9">
      <w:pPr>
        <w:widowControl/>
        <w:spacing w:before="100" w:beforeAutospacing="1" w:after="100" w:afterAutospacing="1" w:line="360" w:lineRule="auto"/>
        <w:ind w:firstLineChars="200" w:firstLine="480"/>
        <w:jc w:val="left"/>
        <w:rPr>
          <w:rFonts w:ascii="simsun" w:eastAsia="宋体" w:hAnsi="simsun" w:cs="宋体"/>
          <w:color w:val="323E32"/>
          <w:kern w:val="0"/>
          <w:szCs w:val="21"/>
        </w:rPr>
      </w:pPr>
      <w:r w:rsidRPr="005B22C9">
        <w:rPr>
          <w:rFonts w:ascii="Times New Roman" w:eastAsia="宋体" w:hAnsi="Times New Roman" w:cs="宋体" w:hint="eastAsia"/>
          <w:color w:val="323E32"/>
          <w:kern w:val="0"/>
          <w:sz w:val="24"/>
          <w:szCs w:val="24"/>
        </w:rPr>
        <w:t>通过对上述案例的分析，我们可以看到，基于报表勾稽关系的财务报表分析是一种更为注重对报表结构、报表各项目间关系理解的财务分析思路，它更强调从报表来看企业发生的经济业务，它更注重识别企业财务报表是否存在粉饰和错误。由于在我国现阶段，现实中存在着相当一部分的虚假会计信息，报表粉饰行为盛行，所以应该强调基于报表勾稽关系的财务报表分析。</w:t>
      </w:r>
    </w:p>
    <w:p w:rsidR="00647207" w:rsidRDefault="00647207"/>
    <w:sectPr w:rsidR="006472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207" w:rsidRDefault="00647207" w:rsidP="005B22C9">
      <w:r>
        <w:separator/>
      </w:r>
    </w:p>
  </w:endnote>
  <w:endnote w:type="continuationSeparator" w:id="1">
    <w:p w:rsidR="00647207" w:rsidRDefault="00647207" w:rsidP="005B22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0030101010101"/>
    <w:charset w:val="86"/>
    <w:family w:val="auto"/>
    <w:pitch w:val="variable"/>
    <w:sig w:usb0="00000001" w:usb1="080E0000" w:usb2="00000010" w:usb3="00000000" w:csb0="00040000" w:csb1="00000000"/>
  </w:font>
  <w:font w:name="楷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207" w:rsidRDefault="00647207" w:rsidP="005B22C9">
      <w:r>
        <w:separator/>
      </w:r>
    </w:p>
  </w:footnote>
  <w:footnote w:type="continuationSeparator" w:id="1">
    <w:p w:rsidR="00647207" w:rsidRDefault="00647207" w:rsidP="005B22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22C9"/>
    <w:rsid w:val="005B22C9"/>
    <w:rsid w:val="006472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22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22C9"/>
    <w:rPr>
      <w:sz w:val="18"/>
      <w:szCs w:val="18"/>
    </w:rPr>
  </w:style>
  <w:style w:type="paragraph" w:styleId="a4">
    <w:name w:val="footer"/>
    <w:basedOn w:val="a"/>
    <w:link w:val="Char0"/>
    <w:uiPriority w:val="99"/>
    <w:semiHidden/>
    <w:unhideWhenUsed/>
    <w:rsid w:val="005B22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22C9"/>
    <w:rPr>
      <w:sz w:val="18"/>
      <w:szCs w:val="18"/>
    </w:rPr>
  </w:style>
  <w:style w:type="paragraph" w:styleId="HTML">
    <w:name w:val="HTML Preformatted"/>
    <w:basedOn w:val="a"/>
    <w:link w:val="HTMLChar"/>
    <w:uiPriority w:val="99"/>
    <w:semiHidden/>
    <w:unhideWhenUsed/>
    <w:rsid w:val="005B2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22C9"/>
    <w:rPr>
      <w:rFonts w:ascii="宋体" w:eastAsia="宋体" w:hAnsi="宋体" w:cs="宋体"/>
      <w:kern w:val="0"/>
      <w:sz w:val="24"/>
      <w:szCs w:val="24"/>
    </w:rPr>
  </w:style>
  <w:style w:type="paragraph" w:styleId="a5">
    <w:name w:val="Normal (Web)"/>
    <w:basedOn w:val="a"/>
    <w:uiPriority w:val="99"/>
    <w:unhideWhenUsed/>
    <w:rsid w:val="005B22C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38718209">
      <w:bodyDiv w:val="1"/>
      <w:marLeft w:val="0"/>
      <w:marRight w:val="0"/>
      <w:marTop w:val="0"/>
      <w:marBottom w:val="0"/>
      <w:divBdr>
        <w:top w:val="none" w:sz="0" w:space="0" w:color="auto"/>
        <w:left w:val="none" w:sz="0" w:space="0" w:color="auto"/>
        <w:bottom w:val="none" w:sz="0" w:space="0" w:color="auto"/>
        <w:right w:val="none" w:sz="0" w:space="0" w:color="auto"/>
      </w:divBdr>
      <w:divsChild>
        <w:div w:id="763380400">
          <w:marLeft w:val="0"/>
          <w:marRight w:val="0"/>
          <w:marTop w:val="0"/>
          <w:marBottom w:val="0"/>
          <w:divBdr>
            <w:top w:val="none" w:sz="0" w:space="0" w:color="auto"/>
            <w:left w:val="none" w:sz="0" w:space="0" w:color="auto"/>
            <w:bottom w:val="none" w:sz="0" w:space="0" w:color="auto"/>
            <w:right w:val="none" w:sz="0" w:space="0" w:color="auto"/>
          </w:divBdr>
          <w:divsChild>
            <w:div w:id="1078401847">
              <w:marLeft w:val="0"/>
              <w:marRight w:val="0"/>
              <w:marTop w:val="0"/>
              <w:marBottom w:val="0"/>
              <w:divBdr>
                <w:top w:val="none" w:sz="0" w:space="0" w:color="auto"/>
                <w:left w:val="none" w:sz="0" w:space="0" w:color="auto"/>
                <w:bottom w:val="none" w:sz="0" w:space="0" w:color="auto"/>
                <w:right w:val="none" w:sz="0" w:space="0" w:color="auto"/>
              </w:divBdr>
              <w:divsChild>
                <w:div w:id="253517792">
                  <w:marLeft w:val="0"/>
                  <w:marRight w:val="0"/>
                  <w:marTop w:val="0"/>
                  <w:marBottom w:val="0"/>
                  <w:divBdr>
                    <w:top w:val="none" w:sz="0" w:space="0" w:color="auto"/>
                    <w:left w:val="none" w:sz="0" w:space="0" w:color="auto"/>
                    <w:bottom w:val="none" w:sz="0" w:space="0" w:color="auto"/>
                    <w:right w:val="none" w:sz="0" w:space="0" w:color="auto"/>
                  </w:divBdr>
                  <w:divsChild>
                    <w:div w:id="2096779583">
                      <w:marLeft w:val="150"/>
                      <w:marRight w:val="0"/>
                      <w:marTop w:val="0"/>
                      <w:marBottom w:val="0"/>
                      <w:divBdr>
                        <w:top w:val="none" w:sz="0" w:space="0" w:color="auto"/>
                        <w:left w:val="none" w:sz="0" w:space="0" w:color="auto"/>
                        <w:bottom w:val="none" w:sz="0" w:space="0" w:color="auto"/>
                        <w:right w:val="none" w:sz="0" w:space="0" w:color="auto"/>
                      </w:divBdr>
                      <w:divsChild>
                        <w:div w:id="217786821">
                          <w:marLeft w:val="0"/>
                          <w:marRight w:val="0"/>
                          <w:marTop w:val="0"/>
                          <w:marBottom w:val="150"/>
                          <w:divBdr>
                            <w:top w:val="none" w:sz="0" w:space="0" w:color="auto"/>
                            <w:left w:val="none" w:sz="0" w:space="0" w:color="auto"/>
                            <w:bottom w:val="none" w:sz="0" w:space="0" w:color="auto"/>
                            <w:right w:val="none" w:sz="0" w:space="0" w:color="auto"/>
                          </w:divBdr>
                          <w:divsChild>
                            <w:div w:id="312564192">
                              <w:marLeft w:val="0"/>
                              <w:marRight w:val="0"/>
                              <w:marTop w:val="0"/>
                              <w:marBottom w:val="0"/>
                              <w:divBdr>
                                <w:top w:val="none" w:sz="0" w:space="0" w:color="auto"/>
                                <w:left w:val="none" w:sz="0" w:space="0" w:color="auto"/>
                                <w:bottom w:val="none" w:sz="0" w:space="0" w:color="auto"/>
                                <w:right w:val="none" w:sz="0" w:space="0" w:color="auto"/>
                              </w:divBdr>
                              <w:divsChild>
                                <w:div w:id="1031079156">
                                  <w:marLeft w:val="0"/>
                                  <w:marRight w:val="0"/>
                                  <w:marTop w:val="0"/>
                                  <w:marBottom w:val="0"/>
                                  <w:divBdr>
                                    <w:top w:val="none" w:sz="0" w:space="0" w:color="auto"/>
                                    <w:left w:val="none" w:sz="0" w:space="0" w:color="auto"/>
                                    <w:bottom w:val="none" w:sz="0" w:space="0" w:color="auto"/>
                                    <w:right w:val="none" w:sz="0" w:space="0" w:color="auto"/>
                                  </w:divBdr>
                                  <w:divsChild>
                                    <w:div w:id="3226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721</Words>
  <Characters>4110</Characters>
  <Application>Microsoft Office Word</Application>
  <DocSecurity>0</DocSecurity>
  <Lines>34</Lines>
  <Paragraphs>9</Paragraphs>
  <ScaleCrop>false</ScaleCrop>
  <Company>Microsoft</Company>
  <LinksUpToDate>false</LinksUpToDate>
  <CharactersWithSpaces>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JBQ</dc:creator>
  <cp:keywords/>
  <dc:description/>
  <cp:lastModifiedBy>JBQ</cp:lastModifiedBy>
  <cp:revision>2</cp:revision>
  <dcterms:created xsi:type="dcterms:W3CDTF">2011-06-17T07:08:00Z</dcterms:created>
  <dcterms:modified xsi:type="dcterms:W3CDTF">2011-06-17T07:09:00Z</dcterms:modified>
</cp:coreProperties>
</file>