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A44E" w14:textId="77777777" w:rsidR="00A52786" w:rsidRDefault="00A52786" w:rsidP="00A52786">
      <w:pPr>
        <w:jc w:val="center"/>
        <w:rPr>
          <w:rFonts w:ascii="Times New Roman" w:eastAsia="Times New Roman" w:hAnsi="Times New Roman" w:cs="Times New Roman"/>
          <w:b/>
          <w:bCs/>
          <w:kern w:val="0"/>
          <w:sz w:val="28"/>
          <w:szCs w:val="28"/>
          <w:lang w:val="en-GB" w:eastAsia="pl-PL"/>
          <w14:ligatures w14:val="none"/>
        </w:rPr>
      </w:pPr>
      <w:r w:rsidRPr="00A52786">
        <w:rPr>
          <w:rFonts w:ascii="Times New Roman" w:eastAsia="Times New Roman" w:hAnsi="Times New Roman" w:cs="Times New Roman"/>
          <w:b/>
          <w:bCs/>
          <w:kern w:val="0"/>
          <w:sz w:val="28"/>
          <w:szCs w:val="28"/>
          <w:lang w:val="en-GB" w:eastAsia="pl-PL"/>
          <w14:ligatures w14:val="none"/>
        </w:rPr>
        <w:t>Platforms for advanced cell culture and analysis of pharmaceutical compounds in conditions like those in the human body</w:t>
      </w:r>
    </w:p>
    <w:p w14:paraId="570E53B5" w14:textId="77777777" w:rsidR="00A52786" w:rsidRDefault="00A52786" w:rsidP="00A52786">
      <w:pPr>
        <w:jc w:val="center"/>
        <w:rPr>
          <w:rFonts w:ascii="Times New Roman" w:eastAsia="Times New Roman" w:hAnsi="Times New Roman" w:cs="Times New Roman"/>
          <w:b/>
          <w:bCs/>
          <w:kern w:val="0"/>
          <w:sz w:val="28"/>
          <w:szCs w:val="28"/>
          <w:lang w:val="en-GB" w:eastAsia="pl-PL"/>
          <w14:ligatures w14:val="none"/>
        </w:rPr>
      </w:pPr>
    </w:p>
    <w:p w14:paraId="329C407D" w14:textId="6645275A" w:rsidR="00893A37" w:rsidRDefault="00893A37" w:rsidP="00893A37">
      <w:pPr>
        <w:rPr>
          <w:rFonts w:ascii="Times New Roman" w:eastAsia="Times New Roman" w:hAnsi="Times New Roman" w:cs="Times New Roman"/>
          <w:kern w:val="0"/>
          <w:lang w:val="en-GB" w:eastAsia="pl-PL"/>
          <w14:ligatures w14:val="none"/>
        </w:rPr>
      </w:pPr>
      <w:r w:rsidRPr="00893A37">
        <w:rPr>
          <w:rFonts w:ascii="Times New Roman" w:eastAsia="Times New Roman" w:hAnsi="Times New Roman" w:cs="Times New Roman"/>
          <w:kern w:val="0"/>
          <w:lang w:val="en-GB" w:eastAsia="pl-PL"/>
          <w14:ligatures w14:val="none"/>
        </w:rPr>
        <w:t>A</w:t>
      </w:r>
      <w:r>
        <w:rPr>
          <w:rFonts w:ascii="Times New Roman" w:eastAsia="Times New Roman" w:hAnsi="Times New Roman" w:cs="Times New Roman"/>
          <w:kern w:val="0"/>
          <w:lang w:val="en-GB" w:eastAsia="pl-PL"/>
          <w14:ligatures w14:val="none"/>
        </w:rPr>
        <w:t xml:space="preserve">gnieszka Żuchowska </w:t>
      </w:r>
    </w:p>
    <w:p w14:paraId="20DBF9FB" w14:textId="77777777" w:rsidR="00893A37" w:rsidRDefault="00893A37" w:rsidP="00893A37">
      <w:pPr>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 xml:space="preserve">Patrycja Baranowska </w:t>
      </w:r>
    </w:p>
    <w:p w14:paraId="042EED74" w14:textId="77777777" w:rsidR="00893A37" w:rsidRDefault="00893A37" w:rsidP="00893A37">
      <w:pPr>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 xml:space="preserve">Elżbieta Jastrzębska </w:t>
      </w:r>
    </w:p>
    <w:p w14:paraId="1EBB5E25" w14:textId="2FCEE1FF" w:rsidR="00E548B1" w:rsidRPr="00893A37" w:rsidRDefault="00893A37" w:rsidP="00893A37">
      <w:pPr>
        <w:rPr>
          <w:rFonts w:ascii="Times New Roman" w:eastAsia="Times New Roman" w:hAnsi="Times New Roman" w:cs="Times New Roman"/>
          <w:b/>
          <w:bCs/>
          <w:kern w:val="0"/>
          <w:lang w:val="en-GB" w:eastAsia="pl-PL"/>
          <w14:ligatures w14:val="none"/>
        </w:rPr>
      </w:pPr>
      <w:proofErr w:type="spellStart"/>
      <w:r w:rsidRPr="00893A37">
        <w:rPr>
          <w:rFonts w:ascii="Times New Roman" w:eastAsia="Times New Roman" w:hAnsi="Times New Roman" w:cs="Times New Roman"/>
          <w:b/>
          <w:bCs/>
          <w:kern w:val="0"/>
          <w:lang w:val="en-GB" w:eastAsia="pl-PL"/>
          <w14:ligatures w14:val="none"/>
        </w:rPr>
        <w:t>MicroGrow</w:t>
      </w:r>
      <w:proofErr w:type="spellEnd"/>
      <w:r w:rsidRPr="00893A37">
        <w:rPr>
          <w:rFonts w:ascii="Times New Roman" w:eastAsia="Times New Roman" w:hAnsi="Times New Roman" w:cs="Times New Roman"/>
          <w:b/>
          <w:bCs/>
          <w:kern w:val="0"/>
          <w:lang w:val="en-GB" w:eastAsia="pl-PL"/>
          <w14:ligatures w14:val="none"/>
        </w:rPr>
        <w:t xml:space="preserve"> </w:t>
      </w:r>
      <w:r w:rsidR="00E548B1" w:rsidRPr="00893A37">
        <w:rPr>
          <w:rFonts w:ascii="Times New Roman" w:eastAsia="Times New Roman" w:hAnsi="Times New Roman" w:cs="Times New Roman"/>
          <w:b/>
          <w:bCs/>
          <w:kern w:val="0"/>
          <w:lang w:val="en-GB" w:eastAsia="pl-PL"/>
          <w14:ligatures w14:val="none"/>
        </w:rPr>
        <w:br/>
      </w:r>
    </w:p>
    <w:p w14:paraId="3F30C9E7" w14:textId="77777777" w:rsidR="00E548B1" w:rsidRPr="00893A37" w:rsidRDefault="00E548B1" w:rsidP="00893A37">
      <w:pPr>
        <w:pStyle w:val="Heading"/>
        <w:jc w:val="center"/>
        <w:rPr>
          <w:lang w:val="en-GB"/>
        </w:rPr>
      </w:pPr>
      <w:r w:rsidRPr="00893A37">
        <w:rPr>
          <w:lang w:val="en-GB"/>
        </w:rPr>
        <w:t>Introduction / Background</w:t>
      </w:r>
    </w:p>
    <w:p w14:paraId="56C273B3" w14:textId="7BFB9B9E" w:rsidR="00893A37" w:rsidRDefault="00893A37" w:rsidP="0065035F">
      <w:pPr>
        <w:pStyle w:val="Heading"/>
        <w:jc w:val="both"/>
        <w:rPr>
          <w:b w:val="0"/>
          <w:bCs w:val="0"/>
          <w:sz w:val="22"/>
          <w:lang w:val="en-GB"/>
        </w:rPr>
      </w:pPr>
      <w:r w:rsidRPr="00893A37">
        <w:rPr>
          <w:b w:val="0"/>
          <w:bCs w:val="0"/>
          <w:sz w:val="22"/>
          <w:lang w:val="en-GB"/>
        </w:rPr>
        <w:t>Currently, less than 0.01% of drug candidates become approved therapies</w:t>
      </w:r>
      <w:r>
        <w:rPr>
          <w:b w:val="0"/>
          <w:bCs w:val="0"/>
          <w:sz w:val="22"/>
          <w:lang w:val="en-GB"/>
        </w:rPr>
        <w:t xml:space="preserve"> and </w:t>
      </w:r>
      <w:r w:rsidRPr="00893A37">
        <w:rPr>
          <w:b w:val="0"/>
          <w:bCs w:val="0"/>
          <w:sz w:val="22"/>
          <w:lang w:val="en-GB"/>
        </w:rPr>
        <w:t>reach the market.</w:t>
      </w:r>
      <w:r>
        <w:rPr>
          <w:b w:val="0"/>
          <w:bCs w:val="0"/>
          <w:sz w:val="22"/>
          <w:lang w:val="en-GB"/>
        </w:rPr>
        <w:t xml:space="preserve"> </w:t>
      </w:r>
      <w:r w:rsidRPr="00893A37">
        <w:rPr>
          <w:b w:val="0"/>
          <w:bCs w:val="0"/>
          <w:sz w:val="22"/>
          <w:lang w:val="en-GB"/>
        </w:rPr>
        <w:t>The core issue: we still rely on preclinical models that cannot faithfully represent human physiology, creating a massive gap between laboratory success and real-world outcomes.</w:t>
      </w:r>
    </w:p>
    <w:p w14:paraId="20492A34" w14:textId="44D266E7" w:rsidR="00E548B1" w:rsidRPr="00893A37" w:rsidRDefault="00E548B1" w:rsidP="00893A37">
      <w:pPr>
        <w:pStyle w:val="Heading"/>
        <w:jc w:val="center"/>
        <w:rPr>
          <w:lang w:val="en-GB"/>
        </w:rPr>
      </w:pPr>
      <w:r w:rsidRPr="00893A37">
        <w:rPr>
          <w:lang w:val="en-GB"/>
        </w:rPr>
        <w:t>Objectives / Goals</w:t>
      </w:r>
    </w:p>
    <w:p w14:paraId="1C29E4FF" w14:textId="77777777" w:rsidR="00893A37" w:rsidRDefault="00893A37" w:rsidP="00893A37">
      <w:pPr>
        <w:pStyle w:val="Heading"/>
        <w:jc w:val="both"/>
        <w:rPr>
          <w:b w:val="0"/>
          <w:bCs w:val="0"/>
          <w:sz w:val="22"/>
          <w:lang w:val="en-GB"/>
        </w:rPr>
      </w:pPr>
      <w:proofErr w:type="spellStart"/>
      <w:r w:rsidRPr="00893A37">
        <w:rPr>
          <w:b w:val="0"/>
          <w:bCs w:val="0"/>
          <w:sz w:val="22"/>
          <w:lang w:val="en-GB"/>
        </w:rPr>
        <w:t>MicroGrow’s</w:t>
      </w:r>
      <w:proofErr w:type="spellEnd"/>
      <w:r w:rsidRPr="00893A37">
        <w:rPr>
          <w:b w:val="0"/>
          <w:bCs w:val="0"/>
          <w:sz w:val="22"/>
          <w:lang w:val="en-GB"/>
        </w:rPr>
        <w:t xml:space="preserve"> goal is to make drug development more reliable by giving researchers tools that better imitate how real human tissues behave. We aim to replace outdated preclinical models with accurate 3D tissue structures grown in the lab, so scientists can spot ineffective or unsafe drug candidates much earlier and bring successful therapies to patients faster.</w:t>
      </w:r>
    </w:p>
    <w:p w14:paraId="2FF9A4B8" w14:textId="32FC8292" w:rsidR="00E548B1" w:rsidRPr="00893A37" w:rsidRDefault="00E548B1" w:rsidP="00893A37">
      <w:pPr>
        <w:pStyle w:val="Heading"/>
        <w:jc w:val="center"/>
        <w:rPr>
          <w:lang w:val="en-GB"/>
        </w:rPr>
      </w:pPr>
      <w:r w:rsidRPr="00893A37">
        <w:rPr>
          <w:lang w:val="en-GB"/>
        </w:rPr>
        <w:t>Methodology / Approach</w:t>
      </w:r>
    </w:p>
    <w:p w14:paraId="68AAD007" w14:textId="29D2D630" w:rsidR="0065035F" w:rsidRDefault="0065035F" w:rsidP="0065035F">
      <w:pPr>
        <w:pStyle w:val="Heading"/>
        <w:jc w:val="both"/>
        <w:rPr>
          <w:b w:val="0"/>
          <w:bCs w:val="0"/>
          <w:sz w:val="22"/>
          <w:lang w:val="en-GB"/>
        </w:rPr>
      </w:pPr>
      <w:proofErr w:type="spellStart"/>
      <w:r w:rsidRPr="0065035F">
        <w:rPr>
          <w:b w:val="0"/>
          <w:bCs w:val="0"/>
          <w:sz w:val="22"/>
          <w:lang w:val="en-GB"/>
        </w:rPr>
        <w:t>MicroGrow</w:t>
      </w:r>
      <w:proofErr w:type="spellEnd"/>
      <w:r w:rsidRPr="0065035F">
        <w:rPr>
          <w:b w:val="0"/>
          <w:bCs w:val="0"/>
          <w:sz w:val="22"/>
          <w:lang w:val="en-GB"/>
        </w:rPr>
        <w:t xml:space="preserve"> delivers an innovative microfluidic cell</w:t>
      </w:r>
      <w:r w:rsidR="00A52786">
        <w:rPr>
          <w:b w:val="0"/>
          <w:bCs w:val="0"/>
          <w:sz w:val="22"/>
          <w:lang w:val="en-GB"/>
        </w:rPr>
        <w:t xml:space="preserve"> </w:t>
      </w:r>
      <w:r w:rsidRPr="0065035F">
        <w:rPr>
          <w:b w:val="0"/>
          <w:bCs w:val="0"/>
          <w:sz w:val="22"/>
          <w:lang w:val="en-GB"/>
        </w:rPr>
        <w:t xml:space="preserve">culture system designed for the rapid and reliable growth of spheroids </w:t>
      </w:r>
      <w:r w:rsidR="00A52786">
        <w:rPr>
          <w:b w:val="0"/>
          <w:bCs w:val="0"/>
          <w:sz w:val="22"/>
          <w:lang w:val="en-GB"/>
        </w:rPr>
        <w:t xml:space="preserve">- </w:t>
      </w:r>
      <w:r w:rsidRPr="0065035F">
        <w:rPr>
          <w:b w:val="0"/>
          <w:bCs w:val="0"/>
          <w:sz w:val="22"/>
          <w:lang w:val="en-GB"/>
        </w:rPr>
        <w:t>miniature, physiologically relevant models of human tissue. The technology integrates an advanced 3D spatial architecture with simple operation and fast analysis. The system operates as a</w:t>
      </w:r>
      <w:r w:rsidR="00A52786">
        <w:rPr>
          <w:b w:val="0"/>
          <w:bCs w:val="0"/>
          <w:sz w:val="22"/>
          <w:lang w:val="en-GB"/>
        </w:rPr>
        <w:t>n</w:t>
      </w:r>
      <w:r w:rsidRPr="0065035F">
        <w:rPr>
          <w:b w:val="0"/>
          <w:bCs w:val="0"/>
          <w:sz w:val="22"/>
          <w:lang w:val="en-GB"/>
        </w:rPr>
        <w:t xml:space="preserve"> </w:t>
      </w:r>
      <w:r w:rsidR="00A52786" w:rsidRPr="00A52786">
        <w:rPr>
          <w:b w:val="0"/>
          <w:bCs w:val="0"/>
          <w:sz w:val="22"/>
          <w:lang w:val="en-GB"/>
        </w:rPr>
        <w:t>autonomous</w:t>
      </w:r>
      <w:r w:rsidRPr="0065035F">
        <w:rPr>
          <w:b w:val="0"/>
          <w:bCs w:val="0"/>
          <w:sz w:val="22"/>
          <w:lang w:val="en-GB"/>
        </w:rPr>
        <w:t xml:space="preserve"> device, requires no additional laboratory equipment, and enables high-throughput experimentation within a single platform.</w:t>
      </w:r>
    </w:p>
    <w:p w14:paraId="7F0CCADB" w14:textId="5DBAF76E" w:rsidR="0065035F" w:rsidRPr="00893A37" w:rsidRDefault="0065035F" w:rsidP="0065035F">
      <w:pPr>
        <w:pStyle w:val="Heading"/>
        <w:jc w:val="center"/>
        <w:rPr>
          <w:lang w:val="en-GB"/>
        </w:rPr>
      </w:pPr>
      <w:r w:rsidRPr="0065035F">
        <w:rPr>
          <w:lang w:val="en-GB"/>
        </w:rPr>
        <w:t>Expected Outcomes</w:t>
      </w:r>
    </w:p>
    <w:p w14:paraId="084654BC" w14:textId="77777777" w:rsidR="0065035F" w:rsidRDefault="0065035F" w:rsidP="0065035F">
      <w:pPr>
        <w:pStyle w:val="Heading"/>
        <w:numPr>
          <w:ilvl w:val="0"/>
          <w:numId w:val="2"/>
        </w:numPr>
        <w:rPr>
          <w:b w:val="0"/>
          <w:bCs w:val="0"/>
          <w:sz w:val="22"/>
          <w:lang w:val="en-GB"/>
        </w:rPr>
      </w:pPr>
      <w:r w:rsidRPr="0065035F">
        <w:rPr>
          <w:b w:val="0"/>
          <w:bCs w:val="0"/>
          <w:sz w:val="22"/>
          <w:lang w:val="en-GB"/>
        </w:rPr>
        <w:t>More accurate prediction of how the human body will respond to drug candidates.</w:t>
      </w:r>
    </w:p>
    <w:p w14:paraId="3FF45824" w14:textId="77777777" w:rsidR="0065035F" w:rsidRDefault="0065035F" w:rsidP="0065035F">
      <w:pPr>
        <w:pStyle w:val="Heading"/>
        <w:numPr>
          <w:ilvl w:val="0"/>
          <w:numId w:val="2"/>
        </w:numPr>
        <w:rPr>
          <w:b w:val="0"/>
          <w:bCs w:val="0"/>
          <w:sz w:val="22"/>
          <w:lang w:val="en-GB"/>
        </w:rPr>
      </w:pPr>
      <w:r w:rsidRPr="0065035F">
        <w:rPr>
          <w:b w:val="0"/>
          <w:bCs w:val="0"/>
          <w:sz w:val="22"/>
          <w:lang w:val="en-GB"/>
        </w:rPr>
        <w:t xml:space="preserve">Reliable and reproducible </w:t>
      </w:r>
      <w:r w:rsidRPr="00A52786">
        <w:rPr>
          <w:b w:val="0"/>
          <w:bCs w:val="0"/>
          <w:i/>
          <w:iCs/>
          <w:sz w:val="22"/>
          <w:lang w:val="en-GB"/>
        </w:rPr>
        <w:t>in vitro</w:t>
      </w:r>
      <w:r w:rsidRPr="0065035F">
        <w:rPr>
          <w:b w:val="0"/>
          <w:bCs w:val="0"/>
          <w:sz w:val="22"/>
          <w:lang w:val="en-GB"/>
        </w:rPr>
        <w:t xml:space="preserve"> data supporting scientific, medical, and pharmaceutical research.</w:t>
      </w:r>
    </w:p>
    <w:p w14:paraId="69F1C05A" w14:textId="77777777" w:rsidR="0065035F" w:rsidRDefault="0065035F" w:rsidP="0065035F">
      <w:pPr>
        <w:pStyle w:val="Heading"/>
        <w:numPr>
          <w:ilvl w:val="0"/>
          <w:numId w:val="2"/>
        </w:numPr>
        <w:rPr>
          <w:b w:val="0"/>
          <w:bCs w:val="0"/>
          <w:sz w:val="22"/>
          <w:lang w:val="en-GB"/>
        </w:rPr>
      </w:pPr>
      <w:r w:rsidRPr="0065035F">
        <w:rPr>
          <w:b w:val="0"/>
          <w:bCs w:val="0"/>
          <w:sz w:val="22"/>
          <w:lang w:val="en-GB"/>
        </w:rPr>
        <w:t>Streamlined workflows for creating realistic 3D tissue models and performing multidimensional analyses.</w:t>
      </w:r>
    </w:p>
    <w:p w14:paraId="038CA3CC" w14:textId="4607C64D" w:rsidR="0065035F" w:rsidRPr="00A52786" w:rsidRDefault="0065035F" w:rsidP="00A52786">
      <w:pPr>
        <w:pStyle w:val="Heading"/>
        <w:numPr>
          <w:ilvl w:val="0"/>
          <w:numId w:val="2"/>
        </w:numPr>
        <w:rPr>
          <w:b w:val="0"/>
          <w:bCs w:val="0"/>
          <w:sz w:val="22"/>
          <w:lang w:val="en-GB"/>
        </w:rPr>
      </w:pPr>
      <w:r w:rsidRPr="0065035F">
        <w:rPr>
          <w:b w:val="0"/>
          <w:bCs w:val="0"/>
          <w:sz w:val="22"/>
          <w:lang w:val="en-GB"/>
        </w:rPr>
        <w:t>Faster translation of lab findings into industrial and clinical applications.</w:t>
      </w:r>
    </w:p>
    <w:p w14:paraId="488F93BF" w14:textId="4E28C744" w:rsidR="0065035F" w:rsidRPr="00A52786" w:rsidRDefault="0065035F" w:rsidP="00A52786">
      <w:pPr>
        <w:pStyle w:val="Maintext"/>
        <w:spacing w:before="240"/>
        <w:jc w:val="center"/>
        <w:rPr>
          <w:b/>
          <w:bCs/>
          <w:sz w:val="24"/>
          <w:szCs w:val="28"/>
          <w:lang w:val="en-GB"/>
        </w:rPr>
      </w:pPr>
      <w:r w:rsidRPr="00A52786">
        <w:rPr>
          <w:b/>
          <w:bCs/>
          <w:sz w:val="24"/>
          <w:szCs w:val="28"/>
          <w:lang w:val="en-GB"/>
        </w:rPr>
        <w:t>I</w:t>
      </w:r>
      <w:r w:rsidRPr="00A52786">
        <w:rPr>
          <w:b/>
          <w:bCs/>
          <w:sz w:val="24"/>
          <w:szCs w:val="28"/>
          <w:lang w:val="en-GB"/>
        </w:rPr>
        <w:t>mpact / Significance</w:t>
      </w:r>
    </w:p>
    <w:p w14:paraId="4723DD01" w14:textId="77777777" w:rsidR="0065035F" w:rsidRPr="0065035F" w:rsidRDefault="0065035F" w:rsidP="0065035F">
      <w:pPr>
        <w:pStyle w:val="Maintext"/>
        <w:rPr>
          <w:lang w:val="en-GB"/>
        </w:rPr>
      </w:pPr>
    </w:p>
    <w:p w14:paraId="45E2484E" w14:textId="77777777" w:rsidR="0065035F" w:rsidRPr="0065035F" w:rsidRDefault="0065035F" w:rsidP="0065035F">
      <w:pPr>
        <w:pStyle w:val="Maintext"/>
        <w:rPr>
          <w:lang w:val="en-GB"/>
        </w:rPr>
      </w:pPr>
      <w:proofErr w:type="spellStart"/>
      <w:r w:rsidRPr="0065035F">
        <w:rPr>
          <w:lang w:val="en-GB"/>
        </w:rPr>
        <w:t>MicroGrow</w:t>
      </w:r>
      <w:proofErr w:type="spellEnd"/>
      <w:r w:rsidRPr="0065035F">
        <w:rPr>
          <w:lang w:val="en-GB"/>
        </w:rPr>
        <w:t xml:space="preserve"> addresses the core bottleneck in drug development: today, only 1 in 10,000 drug candidates reaches the market due to inadequate preclinical testing models. By providing tools that better mimic human physiology, </w:t>
      </w:r>
      <w:proofErr w:type="spellStart"/>
      <w:r w:rsidRPr="0065035F">
        <w:rPr>
          <w:lang w:val="en-GB"/>
        </w:rPr>
        <w:t>MicroGrow</w:t>
      </w:r>
      <w:proofErr w:type="spellEnd"/>
      <w:r w:rsidRPr="0065035F">
        <w:rPr>
          <w:lang w:val="en-GB"/>
        </w:rPr>
        <w:t xml:space="preserve"> enables researchers and companies to reduce risk, lower development costs, and improve the success rate of new therapies. Beneficiaries include academic labs, biotech startups, pharmaceutical companies, and ultimately patients.</w:t>
      </w:r>
    </w:p>
    <w:p w14:paraId="14FCA31E" w14:textId="77777777" w:rsidR="0065035F" w:rsidRPr="0065035F" w:rsidRDefault="0065035F" w:rsidP="0065035F">
      <w:pPr>
        <w:pStyle w:val="Maintext"/>
        <w:rPr>
          <w:lang w:val="en-GB"/>
        </w:rPr>
      </w:pPr>
    </w:p>
    <w:p w14:paraId="1B11872F" w14:textId="3178CE77" w:rsidR="0065035F" w:rsidRPr="00A52786" w:rsidRDefault="0065035F" w:rsidP="00A52786">
      <w:pPr>
        <w:pStyle w:val="Maintext"/>
        <w:spacing w:after="240"/>
        <w:jc w:val="center"/>
        <w:rPr>
          <w:b/>
          <w:bCs/>
          <w:sz w:val="24"/>
          <w:szCs w:val="28"/>
          <w:lang w:val="en-GB"/>
        </w:rPr>
      </w:pPr>
      <w:r w:rsidRPr="00A52786">
        <w:rPr>
          <w:b/>
          <w:bCs/>
          <w:sz w:val="24"/>
          <w:szCs w:val="28"/>
          <w:lang w:val="en-GB"/>
        </w:rPr>
        <w:t>Conclusion</w:t>
      </w:r>
    </w:p>
    <w:p w14:paraId="71AD1A1A" w14:textId="0A7BE5BA" w:rsidR="00C851FC" w:rsidRPr="00893A37" w:rsidRDefault="0065035F" w:rsidP="0065035F">
      <w:pPr>
        <w:pStyle w:val="Maintext"/>
        <w:rPr>
          <w:lang w:val="en-GB"/>
        </w:rPr>
      </w:pPr>
      <w:proofErr w:type="spellStart"/>
      <w:r w:rsidRPr="0065035F">
        <w:rPr>
          <w:lang w:val="en-GB"/>
        </w:rPr>
        <w:t>MicroGrow</w:t>
      </w:r>
      <w:proofErr w:type="spellEnd"/>
      <w:r w:rsidRPr="0065035F">
        <w:rPr>
          <w:lang w:val="en-GB"/>
        </w:rPr>
        <w:t xml:space="preserve"> bridges the critical gap between laboratory models and real human biology, empowering researchers with more reliable data and accelerating the path to effective treatments. Its technology directly supports the overarching goal of transforming preclinical testing into a more predictive, human-relevant process.</w:t>
      </w:r>
    </w:p>
    <w:sectPr w:rsidR="00C851FC" w:rsidRPr="00893A37" w:rsidSect="006102A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93B07"/>
    <w:multiLevelType w:val="hybridMultilevel"/>
    <w:tmpl w:val="8A5EB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3AA14FF"/>
    <w:multiLevelType w:val="multilevel"/>
    <w:tmpl w:val="6D2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655019">
    <w:abstractNumId w:val="1"/>
  </w:num>
  <w:num w:numId="2" w16cid:durableId="95656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8B1"/>
    <w:rsid w:val="001036FE"/>
    <w:rsid w:val="00382E2B"/>
    <w:rsid w:val="00444D79"/>
    <w:rsid w:val="00576965"/>
    <w:rsid w:val="005B622A"/>
    <w:rsid w:val="005B7137"/>
    <w:rsid w:val="005C3367"/>
    <w:rsid w:val="006102AC"/>
    <w:rsid w:val="0065035F"/>
    <w:rsid w:val="00893189"/>
    <w:rsid w:val="00893A37"/>
    <w:rsid w:val="00A12303"/>
    <w:rsid w:val="00A52786"/>
    <w:rsid w:val="00C14D0E"/>
    <w:rsid w:val="00C851FC"/>
    <w:rsid w:val="00DD5FBD"/>
    <w:rsid w:val="00E548B1"/>
    <w:rsid w:val="00F43F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F7D4"/>
  <w15:chartTrackingRefBased/>
  <w15:docId w15:val="{88A312F3-F7C8-204A-B136-015180CE8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54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54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548B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E548B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548B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548B1"/>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548B1"/>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548B1"/>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548B1"/>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548B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548B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548B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E548B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548B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548B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548B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548B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548B1"/>
    <w:rPr>
      <w:rFonts w:eastAsiaTheme="majorEastAsia" w:cstheme="majorBidi"/>
      <w:color w:val="272727" w:themeColor="text1" w:themeTint="D8"/>
    </w:rPr>
  </w:style>
  <w:style w:type="paragraph" w:styleId="Tytu">
    <w:name w:val="Title"/>
    <w:basedOn w:val="Normalny"/>
    <w:next w:val="Normalny"/>
    <w:link w:val="TytuZnak"/>
    <w:uiPriority w:val="10"/>
    <w:qFormat/>
    <w:rsid w:val="00E548B1"/>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548B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548B1"/>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548B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548B1"/>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548B1"/>
    <w:rPr>
      <w:i/>
      <w:iCs/>
      <w:color w:val="404040" w:themeColor="text1" w:themeTint="BF"/>
    </w:rPr>
  </w:style>
  <w:style w:type="paragraph" w:styleId="Akapitzlist">
    <w:name w:val="List Paragraph"/>
    <w:basedOn w:val="Normalny"/>
    <w:uiPriority w:val="34"/>
    <w:qFormat/>
    <w:rsid w:val="00E548B1"/>
    <w:pPr>
      <w:ind w:left="720"/>
      <w:contextualSpacing/>
    </w:pPr>
  </w:style>
  <w:style w:type="character" w:styleId="Wyrnienieintensywne">
    <w:name w:val="Intense Emphasis"/>
    <w:basedOn w:val="Domylnaczcionkaakapitu"/>
    <w:uiPriority w:val="21"/>
    <w:qFormat/>
    <w:rsid w:val="00E548B1"/>
    <w:rPr>
      <w:i/>
      <w:iCs/>
      <w:color w:val="0F4761" w:themeColor="accent1" w:themeShade="BF"/>
    </w:rPr>
  </w:style>
  <w:style w:type="paragraph" w:styleId="Cytatintensywny">
    <w:name w:val="Intense Quote"/>
    <w:basedOn w:val="Normalny"/>
    <w:next w:val="Normalny"/>
    <w:link w:val="CytatintensywnyZnak"/>
    <w:uiPriority w:val="30"/>
    <w:qFormat/>
    <w:rsid w:val="00E54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548B1"/>
    <w:rPr>
      <w:i/>
      <w:iCs/>
      <w:color w:val="0F4761" w:themeColor="accent1" w:themeShade="BF"/>
    </w:rPr>
  </w:style>
  <w:style w:type="character" w:styleId="Odwoanieintensywne">
    <w:name w:val="Intense Reference"/>
    <w:basedOn w:val="Domylnaczcionkaakapitu"/>
    <w:uiPriority w:val="32"/>
    <w:qFormat/>
    <w:rsid w:val="00E548B1"/>
    <w:rPr>
      <w:b/>
      <w:bCs/>
      <w:smallCaps/>
      <w:color w:val="0F4761" w:themeColor="accent1" w:themeShade="BF"/>
      <w:spacing w:val="5"/>
    </w:rPr>
  </w:style>
  <w:style w:type="paragraph" w:styleId="NormalnyWeb">
    <w:name w:val="Normal (Web)"/>
    <w:basedOn w:val="Normalny"/>
    <w:uiPriority w:val="99"/>
    <w:semiHidden/>
    <w:unhideWhenUsed/>
    <w:rsid w:val="00E548B1"/>
    <w:pPr>
      <w:spacing w:before="100" w:beforeAutospacing="1" w:after="100" w:afterAutospacing="1"/>
    </w:pPr>
    <w:rPr>
      <w:rFonts w:ascii="Times New Roman" w:eastAsia="Times New Roman" w:hAnsi="Times New Roman" w:cs="Times New Roman"/>
      <w:kern w:val="0"/>
      <w:lang w:eastAsia="pl-PL"/>
      <w14:ligatures w14:val="none"/>
    </w:rPr>
  </w:style>
  <w:style w:type="character" w:styleId="HTML-kod">
    <w:name w:val="HTML Code"/>
    <w:basedOn w:val="Domylnaczcionkaakapitu"/>
    <w:uiPriority w:val="99"/>
    <w:semiHidden/>
    <w:unhideWhenUsed/>
    <w:rsid w:val="00E548B1"/>
    <w:rPr>
      <w:rFonts w:ascii="Courier New" w:eastAsia="Times New Roman" w:hAnsi="Courier New" w:cs="Courier New"/>
      <w:sz w:val="20"/>
      <w:szCs w:val="20"/>
    </w:rPr>
  </w:style>
  <w:style w:type="character" w:styleId="Pogrubienie">
    <w:name w:val="Strong"/>
    <w:basedOn w:val="Domylnaczcionkaakapitu"/>
    <w:uiPriority w:val="22"/>
    <w:qFormat/>
    <w:rsid w:val="00E548B1"/>
    <w:rPr>
      <w:b/>
      <w:bCs/>
    </w:rPr>
  </w:style>
  <w:style w:type="paragraph" w:customStyle="1" w:styleId="Tytu1">
    <w:name w:val="Tytuł1"/>
    <w:basedOn w:val="Normalny"/>
    <w:qFormat/>
    <w:rsid w:val="00444D79"/>
    <w:pPr>
      <w:spacing w:before="100" w:beforeAutospacing="1" w:after="100" w:afterAutospacing="1"/>
      <w:jc w:val="center"/>
      <w:outlineLvl w:val="2"/>
    </w:pPr>
    <w:rPr>
      <w:rFonts w:ascii="Times New Roman" w:eastAsia="Times New Roman" w:hAnsi="Times New Roman" w:cs="Times New Roman"/>
      <w:b/>
      <w:bCs/>
      <w:kern w:val="0"/>
      <w:sz w:val="28"/>
      <w:szCs w:val="28"/>
      <w:lang w:eastAsia="pl-PL"/>
      <w14:ligatures w14:val="none"/>
    </w:rPr>
  </w:style>
  <w:style w:type="paragraph" w:customStyle="1" w:styleId="Autorsandaffiliation">
    <w:name w:val="Autors and affiliation"/>
    <w:basedOn w:val="Normalny"/>
    <w:qFormat/>
    <w:rsid w:val="00444D79"/>
    <w:pPr>
      <w:spacing w:before="100" w:beforeAutospacing="1" w:after="100" w:afterAutospacing="1"/>
    </w:pPr>
    <w:rPr>
      <w:rFonts w:ascii="Times New Roman" w:eastAsia="Times New Roman" w:hAnsi="Times New Roman" w:cs="Times New Roman"/>
      <w:kern w:val="0"/>
      <w:lang w:eastAsia="pl-PL"/>
      <w14:ligatures w14:val="none"/>
    </w:rPr>
  </w:style>
  <w:style w:type="paragraph" w:customStyle="1" w:styleId="Heading">
    <w:name w:val="Heading"/>
    <w:basedOn w:val="Normalny"/>
    <w:qFormat/>
    <w:rsid w:val="00444D79"/>
    <w:pPr>
      <w:spacing w:before="120"/>
      <w:outlineLvl w:val="3"/>
    </w:pPr>
    <w:rPr>
      <w:rFonts w:ascii="Times New Roman" w:eastAsia="Times New Roman" w:hAnsi="Times New Roman" w:cs="Times New Roman"/>
      <w:b/>
      <w:bCs/>
      <w:kern w:val="0"/>
      <w:lang w:eastAsia="pl-PL"/>
      <w14:ligatures w14:val="none"/>
    </w:rPr>
  </w:style>
  <w:style w:type="paragraph" w:customStyle="1" w:styleId="Maintext">
    <w:name w:val="Main text"/>
    <w:basedOn w:val="Normalny"/>
    <w:qFormat/>
    <w:rsid w:val="00C851FC"/>
    <w:pPr>
      <w:jc w:val="both"/>
    </w:pPr>
    <w:rPr>
      <w:rFonts w:ascii="Times New Roman" w:eastAsia="Times New Roman" w:hAnsi="Times New Roman" w:cs="Times New Roman"/>
      <w:kern w:val="0"/>
      <w:sz w:val="22"/>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379</Words>
  <Characters>2163</Characters>
  <Application>Microsoft Office Word</Application>
  <DocSecurity>4</DocSecurity>
  <Lines>18</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Timofiejczuk</dc:creator>
  <cp:keywords/>
  <dc:description/>
  <cp:lastModifiedBy>Baranowska Patrycja</cp:lastModifiedBy>
  <cp:revision>2</cp:revision>
  <dcterms:created xsi:type="dcterms:W3CDTF">2025-12-02T13:15:00Z</dcterms:created>
  <dcterms:modified xsi:type="dcterms:W3CDTF">2025-12-02T13:15:00Z</dcterms:modified>
</cp:coreProperties>
</file>