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Open Data API Platform — Phase 1</w:t>
      </w:r>
    </w:p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Development / Platform Engineering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Sponsor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 of Data Partnerships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Delivery date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 2025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 DRAFT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Background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publicly accessible API platform allowing accredited third parties (accountants, payroll providers) to access HMRC data products under a formal data sharing agreement. Built on Azure API Management, this is a strategic initiative to support the UK's Making Tax Digital programme.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Azure API Management (APIM) with developer portal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 APIs at launch: Tax Code, NI Contributions, VAT Returns, Employment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OAuth 2.0 / OpenID Connect with MFA for third-party onboarding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Rate limiting: 1,000 calls per minute per registered client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audit logging of all API access (retained 7 years per HMRC policy)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OpenAPI 3.0 specifications for all 4 APIs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Developer sandbox with mocked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SLA: 99.9% availability, &lt;500ms p95 latency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Deliverables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APIM instance configured with 4 APIs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Developer portal (branded, with onboarding journey)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OpenAPI specs and SDK 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Sandbox environment with synthetic datasets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OAuth integration and MFA onboarding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Audit logging pipeline (Azure Monitor to Log Analytics)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Performance test report (1,000 rps sustained)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Third-party onboarding guide and legal framework (with legal team sign-off)</w:t>
      </w:r>
    </w:p>
    <w:p>
      <w:pPr>
        <w:spacing w:after="12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BA6" w:sz="6" w:space="1"/>
      </w:pBdr>
      <w:tabs>
        <w:tab w:val="right" w:pos="9638"/>
      </w:tabs>
      <w:spacing w:before="120"/>
    </w:pPr>
    <w:r>
      <w:rPr>
        <w:rFonts w:ascii="Arial" w:cs="Arial" w:eastAsia="Arial" w:hAnsi="Arial"/>
        <w:color w:val="5F5E5A"/>
        <w:sz w:val="18"/>
        <w:szCs w:val="18"/>
      </w:rPr>
      <w:t xml:space="preserve">Requirements &amp; Deliverables</w:t>
    </w:r>
    <w:r>
      <w:rPr>
        <w:rFonts w:ascii="Arial" w:cs="Arial" w:eastAsia="Arial" w:hAnsi="Arial"/>
        <w:color w:val="5F5E5A"/>
        <w:sz w:val="18"/>
        <w:szCs w:val="18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BA6" w:sz="6" w:space="1"/>
      </w:pBdr>
      <w:spacing w:after="120"/>
    </w:pPr>
    <w:r>
      <w:rPr>
        <w:rFonts w:ascii="Arial" w:cs="Arial" w:eastAsia="Arial" w:hAnsi="Arial"/>
        <w:color w:val="5F5E5A"/>
        <w:sz w:val="18"/>
        <w:szCs w:val="18"/>
      </w:rPr>
      <w:t xml:space="preserve">Open Data API Platform — Phase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5BA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2C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2026-05-04T13:23:46.312Z</dcterms:created>
  <dcterms:modified xsi:type="dcterms:W3CDTF">2026-05-04T13:23:46.312Z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