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Accounts Payable Automation — RPA and AI Document Processing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Automation / RPA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Director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2025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DRAFT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Automate the end-to-end accounts payable process: invoice receipt (email and portal), data extraction (AI/OCR), 3-way matching, and payment approval workflow. Currently an 8 FTE manual process handling 4,000 invoices per month with high error rates and slow cycle times.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UiPath automation for invoice intake from shared mailbox and supplier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document processing (Azure Form Recognizer) for extraction of 22 invoice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3-way matching against purchase orders and goods receipts in SAP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Exception handling workflow with human-in-the-loop escalation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 95% of invoices without human intervention (straight-through processing)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&lt;4 hour processing time from receipt to payment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trail for all automated decisions (GDPR and financial control compliance)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reconciliation with SAP FI module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UiPath robots deployed (attended and unattended)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Form Recognizer model trained and evaluated (&gt;95% field extraction accuracy)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SAP integration layer (RFC/BAPI)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Exception handling UI (Power Apps)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trail database and reporting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 re-design documentation (AS-IS / TO-BE)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UAT sign-off from Finance and Internal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Hypercare support plan (30 days post-go-live)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BA6" w:sz="6" w:space="1"/>
      </w:pBdr>
      <w:tabs>
        <w:tab w:val="right" w:pos="9638"/>
      </w:tabs>
      <w:spacing w:before="120"/>
    </w:pPr>
    <w:r>
      <w:rPr>
        <w:rFonts w:ascii="Arial" w:cs="Arial" w:eastAsia="Arial" w:hAnsi="Arial"/>
        <w:color w:val="5F5E5A"/>
        <w:sz w:val="18"/>
        <w:szCs w:val="18"/>
      </w:rPr>
      <w:t xml:space="preserve">Requirements &amp; Deliverables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BA6" w:sz="6" w:space="1"/>
      </w:pBdr>
      <w:spacing w:after="120"/>
    </w:pPr>
    <w:r>
      <w:rPr>
        <w:rFonts w:ascii="Arial" w:cs="Arial" w:eastAsia="Arial" w:hAnsi="Arial"/>
        <w:color w:val="5F5E5A"/>
        <w:sz w:val="18"/>
        <w:szCs w:val="18"/>
      </w:rPr>
      <w:t xml:space="preserve">Accounts Payable Automation — RPA and AI Document Processing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B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2026-05-04T13:23:46.354Z</dcterms:created>
  <dcterms:modified xsi:type="dcterms:W3CDTF">2026-05-04T13:23:46.354Z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