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9C16C">
      <w:pPr>
        <w:pStyle w:val="2"/>
        <w:rPr>
          <w:color w:val="auto"/>
        </w:rPr>
      </w:pPr>
      <w:bookmarkStart w:id="0" w:name="_GoBack"/>
      <w:r>
        <w:rPr>
          <w:color w:val="auto"/>
        </w:rPr>
        <w:t>Design and Implementation of GeoSmart-Manager: An AI-Integrated Geospatial ERP System for Automated Land Subdivision and Survey Operations</w:t>
      </w:r>
    </w:p>
    <w:p w14:paraId="02AEF42D">
      <w:pPr>
        <w:rPr>
          <w:color w:val="auto"/>
        </w:rPr>
      </w:pPr>
      <w:r>
        <w:rPr>
          <w:color w:val="auto"/>
        </w:rPr>
        <w:t>Partner Organization</w:t>
      </w:r>
    </w:p>
    <w:p w14:paraId="0BCD0095">
      <w:pPr>
        <w:rPr>
          <w:color w:val="auto"/>
        </w:rPr>
      </w:pPr>
      <w:r>
        <w:rPr>
          <w:color w:val="auto"/>
        </w:rPr>
        <w:t>Venus Surveying and Engineering Ltd</w:t>
      </w:r>
      <w:r>
        <w:rPr>
          <w:color w:val="auto"/>
        </w:rPr>
        <w:br w:type="textWrapping"/>
      </w:r>
      <w:r>
        <w:rPr>
          <w:color w:val="auto"/>
        </w:rPr>
        <w:t>Surveying and Geospatial Engineering Company</w:t>
      </w:r>
      <w:r>
        <w:rPr>
          <w:color w:val="auto"/>
        </w:rPr>
        <w:br w:type="textWrapping"/>
      </w:r>
      <w:r>
        <w:rPr>
          <w:color w:val="auto"/>
        </w:rPr>
        <w:t>Kigali, Rwanda</w:t>
      </w:r>
      <w:r>
        <w:rPr>
          <w:color w:val="auto"/>
        </w:rPr>
        <w:br w:type="textWrapping"/>
      </w:r>
    </w:p>
    <w:p w14:paraId="16A8AB7B">
      <w:pPr>
        <w:rPr>
          <w:color w:val="auto"/>
        </w:rPr>
      </w:pPr>
      <w:r>
        <w:rPr>
          <w:color w:val="auto"/>
        </w:rPr>
        <w:t>Student</w:t>
      </w:r>
    </w:p>
    <w:p w14:paraId="7EA41C7E">
      <w:pPr>
        <w:rPr>
          <w:color w:val="auto"/>
        </w:rPr>
      </w:pPr>
      <w:r>
        <w:rPr>
          <w:color w:val="auto"/>
        </w:rPr>
        <w:t>Irankunda Badaga Steven</w:t>
      </w:r>
      <w:r>
        <w:rPr>
          <w:color w:val="auto"/>
        </w:rPr>
        <w:br w:type="textWrapping"/>
      </w:r>
      <w:r>
        <w:rPr>
          <w:color w:val="auto"/>
        </w:rPr>
        <w:t>Student ID: 25961</w:t>
      </w:r>
      <w:r>
        <w:rPr>
          <w:color w:val="auto"/>
        </w:rPr>
        <w:br w:type="textWrapping"/>
      </w:r>
      <w:r>
        <w:rPr>
          <w:color w:val="auto"/>
        </w:rPr>
        <w:t>Final-Year Student</w:t>
      </w:r>
      <w:r>
        <w:rPr>
          <w:color w:val="auto"/>
        </w:rPr>
        <w:br w:type="textWrapping"/>
      </w:r>
      <w:r>
        <w:rPr>
          <w:color w:val="auto"/>
        </w:rPr>
        <w:t>Faculty of Computing and Information Sciences</w:t>
      </w:r>
      <w:r>
        <w:rPr>
          <w:color w:val="auto"/>
        </w:rPr>
        <w:br w:type="textWrapping"/>
      </w:r>
      <w:r>
        <w:rPr>
          <w:color w:val="auto"/>
        </w:rPr>
        <w:t>Adventist University of Central Africa (AUCA)</w:t>
      </w:r>
      <w:r>
        <w:rPr>
          <w:color w:val="auto"/>
        </w:rPr>
        <w:br w:type="textWrapping"/>
      </w:r>
      <w:r>
        <w:rPr>
          <w:color w:val="auto"/>
        </w:rPr>
        <w:t>Kigali, Rwanda</w:t>
      </w:r>
      <w:r>
        <w:rPr>
          <w:color w:val="auto"/>
        </w:rPr>
        <w:br w:type="textWrapping"/>
      </w:r>
    </w:p>
    <w:p w14:paraId="12EC8281">
      <w:pPr>
        <w:pStyle w:val="3"/>
        <w:rPr>
          <w:color w:val="auto"/>
        </w:rPr>
      </w:pPr>
      <w:r>
        <w:rPr>
          <w:color w:val="auto"/>
        </w:rPr>
        <w:t>Brief Description of the System</w:t>
      </w:r>
    </w:p>
    <w:p w14:paraId="7E7CF59D">
      <w:pPr>
        <w:rPr>
          <w:color w:val="auto"/>
        </w:rPr>
      </w:pPr>
      <w:r>
        <w:rPr>
          <w:color w:val="auto"/>
        </w:rPr>
        <w:t>GeoSmart-Manager is an AI-integrated geospatial Enterprise Resource Planning (ERP) system designed to support surveying and engineering companies in automating land subdivision and survey operations. The system integrates Management Information Systems (MIS) with Artificial Intelligence to streamline business workflows, analyze geospatial data, and optimize land parcel subdivision in compliance with Rwanda Land Management and Use Authority (RLMUA) standards and the National Master Plan. By leveraging AI and geospatial analytics, the system improves accuracy, efficiency, and regulatory compliance.</w:t>
      </w:r>
    </w:p>
    <w:p w14:paraId="0BA7E3C5">
      <w:pPr>
        <w:pStyle w:val="3"/>
        <w:rPr>
          <w:color w:val="auto"/>
        </w:rPr>
      </w:pPr>
      <w:r>
        <w:rPr>
          <w:color w:val="auto"/>
        </w:rPr>
        <w:t>General Objective</w:t>
      </w:r>
    </w:p>
    <w:p w14:paraId="70129BB3">
      <w:pPr>
        <w:rPr>
          <w:color w:val="auto"/>
        </w:rPr>
      </w:pPr>
      <w:r>
        <w:rPr>
          <w:color w:val="auto"/>
        </w:rPr>
        <w:t>To design and implement an AI-integrated geospatial ERP system that automates land subdivision and survey operations while enhancing efficiency, accuracy, and regulatory compliance.</w:t>
      </w:r>
    </w:p>
    <w:p w14:paraId="265A77F9">
      <w:pPr>
        <w:pStyle w:val="3"/>
        <w:rPr>
          <w:color w:val="auto"/>
        </w:rPr>
      </w:pPr>
      <w:r>
        <w:rPr>
          <w:color w:val="auto"/>
        </w:rPr>
        <w:t>Specific Objectives</w:t>
      </w:r>
    </w:p>
    <w:p w14:paraId="05678D2F">
      <w:pPr>
        <w:pStyle w:val="23"/>
        <w:rPr>
          <w:color w:val="auto"/>
        </w:rPr>
      </w:pPr>
      <w:r>
        <w:rPr>
          <w:color w:val="auto"/>
        </w:rPr>
        <w:t>Automate land parcel subdivision using geospatial and AI techniques</w:t>
      </w:r>
    </w:p>
    <w:p w14:paraId="6BAC9B77">
      <w:pPr>
        <w:pStyle w:val="23"/>
        <w:rPr>
          <w:color w:val="auto"/>
        </w:rPr>
      </w:pPr>
      <w:r>
        <w:rPr>
          <w:color w:val="auto"/>
        </w:rPr>
        <w:t>Integrate MIS functionalities to streamline surveying business workflows</w:t>
      </w:r>
    </w:p>
    <w:p w14:paraId="4FF50A75">
      <w:pPr>
        <w:pStyle w:val="23"/>
        <w:rPr>
          <w:color w:val="auto"/>
        </w:rPr>
      </w:pPr>
      <w:r>
        <w:rPr>
          <w:color w:val="auto"/>
        </w:rPr>
        <w:t>Ensure compliance with RLMUA standards and the National Master Plan</w:t>
      </w:r>
    </w:p>
    <w:p w14:paraId="0FB2048D">
      <w:pPr>
        <w:pStyle w:val="23"/>
        <w:rPr>
          <w:color w:val="auto"/>
        </w:rPr>
      </w:pPr>
      <w:r>
        <w:rPr>
          <w:color w:val="auto"/>
        </w:rPr>
        <w:t>Analyze cadastral and UPI data to support decision-making</w:t>
      </w:r>
    </w:p>
    <w:p w14:paraId="0CED748B">
      <w:pPr>
        <w:pStyle w:val="23"/>
        <w:rPr>
          <w:color w:val="auto"/>
        </w:rPr>
      </w:pPr>
      <w:r>
        <w:rPr>
          <w:color w:val="auto"/>
        </w:rPr>
        <w:t>Improve accuracy and efficiency of survey operations</w:t>
      </w:r>
    </w:p>
    <w:p w14:paraId="3DF10BAA">
      <w:pPr>
        <w:pStyle w:val="23"/>
        <w:rPr>
          <w:color w:val="auto"/>
        </w:rPr>
      </w:pPr>
      <w:r>
        <w:rPr>
          <w:color w:val="auto"/>
        </w:rPr>
        <w:t>Support real-world testing and validation of geospatial workflows</w:t>
      </w:r>
    </w:p>
    <w:p w14:paraId="3B0E124F">
      <w:pPr>
        <w:pStyle w:val="3"/>
        <w:rPr>
          <w:color w:val="auto"/>
        </w:rPr>
      </w:pPr>
      <w:r>
        <w:rPr>
          <w:color w:val="auto"/>
        </w:rPr>
        <w:t>System Modules</w:t>
      </w:r>
    </w:p>
    <w:tbl>
      <w:tblPr>
        <w:tblStyle w:val="12"/>
        <w:tblW w:w="0" w:type="auto"/>
        <w:tblInd w:w="0" w:type="dxa"/>
        <w:tblLayout w:type="autofit"/>
        <w:tblCellMar>
          <w:top w:w="0" w:type="dxa"/>
          <w:left w:w="108" w:type="dxa"/>
          <w:bottom w:w="0" w:type="dxa"/>
          <w:right w:w="108" w:type="dxa"/>
        </w:tblCellMar>
      </w:tblPr>
      <w:tblGrid>
        <w:gridCol w:w="4320"/>
        <w:gridCol w:w="4320"/>
      </w:tblGrid>
      <w:tr w14:paraId="3C6400DD">
        <w:tc>
          <w:tcPr>
            <w:tcW w:w="4320" w:type="dxa"/>
          </w:tcPr>
          <w:p w14:paraId="68CB140F">
            <w:pPr>
              <w:rPr>
                <w:color w:val="auto"/>
              </w:rPr>
            </w:pPr>
            <w:r>
              <w:rPr>
                <w:color w:val="auto"/>
              </w:rPr>
              <w:t>Module</w:t>
            </w:r>
          </w:p>
        </w:tc>
        <w:tc>
          <w:tcPr>
            <w:tcW w:w="4320" w:type="dxa"/>
          </w:tcPr>
          <w:p w14:paraId="20871C41">
            <w:pPr>
              <w:rPr>
                <w:color w:val="auto"/>
              </w:rPr>
            </w:pPr>
            <w:r>
              <w:rPr>
                <w:color w:val="auto"/>
              </w:rPr>
              <w:t>Description</w:t>
            </w:r>
          </w:p>
        </w:tc>
      </w:tr>
      <w:tr w14:paraId="41F44A6F">
        <w:tc>
          <w:tcPr>
            <w:tcW w:w="4320" w:type="dxa"/>
          </w:tcPr>
          <w:p w14:paraId="38B9CDC0">
            <w:pPr>
              <w:rPr>
                <w:color w:val="auto"/>
              </w:rPr>
            </w:pPr>
            <w:r>
              <w:rPr>
                <w:color w:val="auto"/>
              </w:rPr>
              <w:t>User Registration &amp; Authentication Module</w:t>
            </w:r>
          </w:p>
        </w:tc>
        <w:tc>
          <w:tcPr>
            <w:tcW w:w="4320" w:type="dxa"/>
          </w:tcPr>
          <w:p w14:paraId="047E6C1C">
            <w:pPr>
              <w:rPr>
                <w:color w:val="auto"/>
              </w:rPr>
            </w:pPr>
            <w:r>
              <w:rPr>
                <w:color w:val="auto"/>
              </w:rPr>
              <w:t>Manages secure access for engineers and administrators</w:t>
            </w:r>
          </w:p>
        </w:tc>
      </w:tr>
      <w:tr w14:paraId="2C095027">
        <w:tc>
          <w:tcPr>
            <w:tcW w:w="4320" w:type="dxa"/>
          </w:tcPr>
          <w:p w14:paraId="115843F7">
            <w:pPr>
              <w:rPr>
                <w:color w:val="auto"/>
              </w:rPr>
            </w:pPr>
            <w:r>
              <w:rPr>
                <w:color w:val="auto"/>
              </w:rPr>
              <w:t>Client &amp; Project Management Module</w:t>
            </w:r>
          </w:p>
        </w:tc>
        <w:tc>
          <w:tcPr>
            <w:tcW w:w="4320" w:type="dxa"/>
          </w:tcPr>
          <w:p w14:paraId="714CED1A">
            <w:pPr>
              <w:rPr>
                <w:color w:val="auto"/>
              </w:rPr>
            </w:pPr>
            <w:r>
              <w:rPr>
                <w:color w:val="auto"/>
              </w:rPr>
              <w:t>Handles client onboarding and project tracking</w:t>
            </w:r>
          </w:p>
        </w:tc>
      </w:tr>
      <w:tr w14:paraId="31B8E132">
        <w:tc>
          <w:tcPr>
            <w:tcW w:w="4320" w:type="dxa"/>
          </w:tcPr>
          <w:p w14:paraId="0F83B258">
            <w:pPr>
              <w:rPr>
                <w:color w:val="auto"/>
              </w:rPr>
            </w:pPr>
            <w:r>
              <w:rPr>
                <w:color w:val="auto"/>
              </w:rPr>
              <w:t>Geospatial Data Management Module</w:t>
            </w:r>
          </w:p>
        </w:tc>
        <w:tc>
          <w:tcPr>
            <w:tcW w:w="4320" w:type="dxa"/>
          </w:tcPr>
          <w:p w14:paraId="1FAE40C6">
            <w:pPr>
              <w:rPr>
                <w:color w:val="auto"/>
              </w:rPr>
            </w:pPr>
            <w:r>
              <w:rPr>
                <w:color w:val="auto"/>
              </w:rPr>
              <w:t>Stores and processes cadastral and survey datasets</w:t>
            </w:r>
          </w:p>
        </w:tc>
      </w:tr>
      <w:tr w14:paraId="11B4856E">
        <w:tc>
          <w:tcPr>
            <w:tcW w:w="4320" w:type="dxa"/>
          </w:tcPr>
          <w:p w14:paraId="0E933234">
            <w:pPr>
              <w:rPr>
                <w:color w:val="auto"/>
              </w:rPr>
            </w:pPr>
            <w:r>
              <w:rPr>
                <w:color w:val="auto"/>
              </w:rPr>
              <w:t>AI Land Subdivision Module</w:t>
            </w:r>
          </w:p>
        </w:tc>
        <w:tc>
          <w:tcPr>
            <w:tcW w:w="4320" w:type="dxa"/>
          </w:tcPr>
          <w:p w14:paraId="3F2E4E58">
            <w:pPr>
              <w:rPr>
                <w:color w:val="auto"/>
              </w:rPr>
            </w:pPr>
            <w:r>
              <w:rPr>
                <w:color w:val="auto"/>
              </w:rPr>
              <w:t>Automates and optimizes land parcel subdivision</w:t>
            </w:r>
          </w:p>
        </w:tc>
      </w:tr>
      <w:tr w14:paraId="00D60206">
        <w:tc>
          <w:tcPr>
            <w:tcW w:w="4320" w:type="dxa"/>
          </w:tcPr>
          <w:p w14:paraId="0A475513">
            <w:pPr>
              <w:rPr>
                <w:color w:val="auto"/>
              </w:rPr>
            </w:pPr>
            <w:r>
              <w:rPr>
                <w:color w:val="auto"/>
              </w:rPr>
              <w:t>Regulatory Compliance Module</w:t>
            </w:r>
          </w:p>
        </w:tc>
        <w:tc>
          <w:tcPr>
            <w:tcW w:w="4320" w:type="dxa"/>
          </w:tcPr>
          <w:p w14:paraId="0367F930">
            <w:pPr>
              <w:rPr>
                <w:color w:val="auto"/>
              </w:rPr>
            </w:pPr>
            <w:r>
              <w:rPr>
                <w:color w:val="auto"/>
              </w:rPr>
              <w:t>Validates outputs against RLMUA and planning standards</w:t>
            </w:r>
          </w:p>
        </w:tc>
      </w:tr>
      <w:tr w14:paraId="22A5A7F8">
        <w:tc>
          <w:tcPr>
            <w:tcW w:w="4320" w:type="dxa"/>
          </w:tcPr>
          <w:p w14:paraId="0D2F13E5">
            <w:pPr>
              <w:rPr>
                <w:color w:val="auto"/>
              </w:rPr>
            </w:pPr>
            <w:r>
              <w:rPr>
                <w:color w:val="auto"/>
              </w:rPr>
              <w:t>Workflow &amp; MIS Integration Module</w:t>
            </w:r>
          </w:p>
        </w:tc>
        <w:tc>
          <w:tcPr>
            <w:tcW w:w="4320" w:type="dxa"/>
          </w:tcPr>
          <w:p w14:paraId="6D796234">
            <w:pPr>
              <w:rPr>
                <w:color w:val="auto"/>
              </w:rPr>
            </w:pPr>
            <w:r>
              <w:rPr>
                <w:color w:val="auto"/>
              </w:rPr>
              <w:t>Integrates administrative and operational workflows</w:t>
            </w:r>
          </w:p>
        </w:tc>
      </w:tr>
      <w:tr w14:paraId="1B7DF8DC">
        <w:tc>
          <w:tcPr>
            <w:tcW w:w="4320" w:type="dxa"/>
          </w:tcPr>
          <w:p w14:paraId="1232C63E">
            <w:pPr>
              <w:rPr>
                <w:color w:val="auto"/>
              </w:rPr>
            </w:pPr>
            <w:r>
              <w:rPr>
                <w:color w:val="auto"/>
              </w:rPr>
              <w:t>Reporting &amp; Analytics Module</w:t>
            </w:r>
          </w:p>
        </w:tc>
        <w:tc>
          <w:tcPr>
            <w:tcW w:w="4320" w:type="dxa"/>
          </w:tcPr>
          <w:p w14:paraId="48C06FBF">
            <w:pPr>
              <w:rPr>
                <w:color w:val="auto"/>
              </w:rPr>
            </w:pPr>
            <w:r>
              <w:rPr>
                <w:color w:val="auto"/>
              </w:rPr>
              <w:t>Generates survey, subdivision, and compliance reports</w:t>
            </w:r>
          </w:p>
        </w:tc>
      </w:tr>
      <w:tr w14:paraId="3D173752">
        <w:tc>
          <w:tcPr>
            <w:tcW w:w="4320" w:type="dxa"/>
          </w:tcPr>
          <w:p w14:paraId="53C2A628">
            <w:pPr>
              <w:rPr>
                <w:color w:val="auto"/>
              </w:rPr>
            </w:pPr>
            <w:r>
              <w:rPr>
                <w:color w:val="auto"/>
              </w:rPr>
              <w:t>Audit &amp; Security Module</w:t>
            </w:r>
          </w:p>
        </w:tc>
        <w:tc>
          <w:tcPr>
            <w:tcW w:w="4320" w:type="dxa"/>
          </w:tcPr>
          <w:p w14:paraId="172709FF">
            <w:pPr>
              <w:rPr>
                <w:color w:val="auto"/>
              </w:rPr>
            </w:pPr>
            <w:r>
              <w:rPr>
                <w:color w:val="auto"/>
              </w:rPr>
              <w:t>Ensures data integrity, security, and traceability</w:t>
            </w:r>
          </w:p>
        </w:tc>
      </w:tr>
    </w:tbl>
    <w:p w14:paraId="48D4CCB3">
      <w:pPr>
        <w:pStyle w:val="3"/>
        <w:rPr>
          <w:color w:val="auto"/>
        </w:rPr>
      </w:pPr>
      <w:r>
        <w:rPr>
          <w:color w:val="auto"/>
        </w:rPr>
        <w:t>Expected Outcomes</w:t>
      </w:r>
    </w:p>
    <w:p w14:paraId="2D8D4E0E">
      <w:pPr>
        <w:pStyle w:val="23"/>
        <w:rPr>
          <w:color w:val="auto"/>
        </w:rPr>
      </w:pPr>
      <w:r>
        <w:rPr>
          <w:color w:val="auto"/>
        </w:rPr>
        <w:t>Automated and accurate land subdivision processes</w:t>
      </w:r>
    </w:p>
    <w:p w14:paraId="1CDAB96B">
      <w:pPr>
        <w:pStyle w:val="23"/>
        <w:rPr>
          <w:color w:val="auto"/>
        </w:rPr>
      </w:pPr>
      <w:r>
        <w:rPr>
          <w:color w:val="auto"/>
        </w:rPr>
        <w:t>Improved efficiency in survey and engineering operations</w:t>
      </w:r>
    </w:p>
    <w:p w14:paraId="00C19222">
      <w:pPr>
        <w:pStyle w:val="23"/>
        <w:rPr>
          <w:color w:val="auto"/>
        </w:rPr>
      </w:pPr>
      <w:r>
        <w:rPr>
          <w:color w:val="auto"/>
        </w:rPr>
        <w:t>Enhanced compliance with national land regulations</w:t>
      </w:r>
    </w:p>
    <w:p w14:paraId="2F8DCA19">
      <w:pPr>
        <w:pStyle w:val="23"/>
        <w:rPr>
          <w:color w:val="auto"/>
        </w:rPr>
      </w:pPr>
      <w:r>
        <w:rPr>
          <w:color w:val="auto"/>
        </w:rPr>
        <w:t>Better utilization of geospatial and cadastral data</w:t>
      </w:r>
    </w:p>
    <w:p w14:paraId="3307EA2A">
      <w:pPr>
        <w:pStyle w:val="23"/>
        <w:rPr>
          <w:color w:val="auto"/>
        </w:rPr>
      </w:pPr>
      <w:r>
        <w:rPr>
          <w:color w:val="auto"/>
        </w:rPr>
        <w:t>Reduced manual workload and operational errors</w:t>
      </w:r>
    </w:p>
    <w:p w14:paraId="5A3AC594">
      <w:pPr>
        <w:pStyle w:val="23"/>
        <w:rPr>
          <w:color w:val="auto"/>
        </w:rPr>
      </w:pPr>
      <w:r>
        <w:rPr>
          <w:color w:val="auto"/>
        </w:rPr>
        <w:t>Strong academic and industry relevance in geospatial engineering and AI</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FBC9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princeishimwe</cp:lastModifiedBy>
  <dcterms:modified xsi:type="dcterms:W3CDTF">2026-01-13T05:36:25Z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F35524341FC81CC9B9BD6569203056A6_42</vt:lpwstr>
  </property>
</Properties>
</file>