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D72" w:rsidRPr="005A7BD2" w:rsidRDefault="00481D72" w:rsidP="005A7BD2">
      <w:pPr>
        <w:pStyle w:val="Title"/>
        <w:spacing w:line="480" w:lineRule="auto"/>
      </w:pPr>
      <w:r w:rsidRPr="005A7BD2">
        <w:t>NIA Adverse Event and Serious Adverse Event Guidelines</w:t>
      </w:r>
    </w:p>
    <w:p w:rsidR="005635AF" w:rsidRPr="005A7BD2" w:rsidRDefault="005635AF" w:rsidP="005A7BD2">
      <w:pPr>
        <w:pStyle w:val="Heading1"/>
      </w:pPr>
      <w:r w:rsidRPr="005A7BD2">
        <w:t>BACKGROUND</w:t>
      </w:r>
    </w:p>
    <w:p w:rsidR="001C595D" w:rsidRDefault="005635AF" w:rsidP="001C595D">
      <w:pPr>
        <w:pStyle w:val="DefaultChar"/>
      </w:pPr>
      <w:r w:rsidRPr="00AD2E9F">
        <w:t>This guideline describes the requirements and processes for reporting adverse events and unanticipated problems to the National Institute on Aging (NIA). It incorporates guidelines provided by the Office of Human Research Protections (OHRP) of the Department of Health and Human Services (DHHS) and describes Food and Drug Administration (FDA) reporting requirements. NIH is obligated to ensure that researchers comply with their approved reporting procedures.  Clinical trial investigators funded by NIA are obligated under federal regulations to appropriately inform the Institute of adverse events and unanticipated problems, and NIA is required to ensure that the appropriate procedures are in p</w:t>
      </w:r>
      <w:r w:rsidR="00BB364B">
        <w:t>lace to support this reporting.</w:t>
      </w:r>
    </w:p>
    <w:p w:rsidR="00BB364B" w:rsidRDefault="00BB364B" w:rsidP="001C595D">
      <w:pPr>
        <w:pStyle w:val="DefaultChar"/>
      </w:pPr>
    </w:p>
    <w:p w:rsidR="005635AF" w:rsidRPr="005A7BD2" w:rsidRDefault="005635AF" w:rsidP="005A7BD2">
      <w:pPr>
        <w:pStyle w:val="Heading1"/>
      </w:pPr>
      <w:r w:rsidRPr="005A7BD2">
        <w:t xml:space="preserve">DEFINITIONS </w:t>
      </w:r>
    </w:p>
    <w:p w:rsidR="005635AF" w:rsidRPr="00AD2E9F" w:rsidRDefault="005635AF" w:rsidP="00A3021B">
      <w:pPr>
        <w:pStyle w:val="DefaultChar"/>
      </w:pPr>
      <w:r w:rsidRPr="00AD2E9F">
        <w:rPr>
          <w:bCs/>
        </w:rPr>
        <w:t xml:space="preserve">Definitions are from the January 2007 OHRP </w:t>
      </w:r>
      <w:r w:rsidRPr="00AD2E9F">
        <w:rPr>
          <w:i/>
        </w:rPr>
        <w:t>Guidance on Reviewing and Reporting Unanticipated Problems Involving Risks to Subjects or Others and Adverse Events, OHRP Guidance</w:t>
      </w:r>
      <w:r w:rsidRPr="00AD2E9F">
        <w:t>,</w:t>
      </w:r>
      <w:r>
        <w:t xml:space="preserve"> </w:t>
      </w:r>
      <w:hyperlink r:id="rId9" w:tooltip="HHS Guidance on Reviewing and Reporting Unanticipated Problems Involving Risks to Subjects or Others and Adverse Events" w:history="1">
        <w:r w:rsidRPr="003E0B29">
          <w:rPr>
            <w:rStyle w:val="Hyperlink"/>
          </w:rPr>
          <w:t>http://www.hhs.gov/ohrp/policy/advevntguid.html</w:t>
        </w:r>
      </w:hyperlink>
      <w:r w:rsidRPr="00AD2E9F">
        <w:rPr>
          <w:b/>
          <w:bCs/>
        </w:rPr>
        <w:t>.</w:t>
      </w:r>
    </w:p>
    <w:p w:rsidR="005635AF" w:rsidRPr="0011504B" w:rsidRDefault="005635AF" w:rsidP="0011504B">
      <w:pPr>
        <w:pStyle w:val="Heading2"/>
        <w:spacing w:before="360" w:after="240"/>
        <w:rPr>
          <w:rFonts w:cs="Arial"/>
          <w:color w:val="000000" w:themeColor="text1"/>
          <w:szCs w:val="24"/>
        </w:rPr>
      </w:pPr>
      <w:r w:rsidRPr="0011504B">
        <w:rPr>
          <w:rFonts w:cs="Arial"/>
          <w:color w:val="000000" w:themeColor="text1"/>
          <w:szCs w:val="24"/>
        </w:rPr>
        <w:t xml:space="preserve">Adverse Event (AE):  </w:t>
      </w:r>
    </w:p>
    <w:p w:rsidR="005635AF" w:rsidRDefault="005635AF" w:rsidP="008A3848">
      <w:r w:rsidRPr="00AB51A7">
        <w:t>Any untoward or unfavorable medical occurrence in a human study participant, including any abnormal sign (e.g. abnormal physical exam or laboratory finding), symptom, or disease, temporally associated with the participants’ involvement in the research, whether or not considered related to participation in the research.</w:t>
      </w:r>
      <w:r w:rsidRPr="007D415F">
        <w:t xml:space="preserve"> </w:t>
      </w:r>
    </w:p>
    <w:p w:rsidR="005635AF" w:rsidRPr="0011504B" w:rsidRDefault="005635AF" w:rsidP="00D04AC5">
      <w:pPr>
        <w:pStyle w:val="Heading2"/>
        <w:rPr>
          <w:rStyle w:val="Heading1TimesCharChar"/>
          <w:caps w:val="0"/>
          <w:color w:val="000000" w:themeColor="text1"/>
          <w:szCs w:val="24"/>
        </w:rPr>
      </w:pPr>
      <w:r w:rsidRPr="0011504B">
        <w:t xml:space="preserve">Serious </w:t>
      </w:r>
      <w:r w:rsidRPr="00D04AC5">
        <w:t>Adverse</w:t>
      </w:r>
      <w:r w:rsidRPr="0011504B">
        <w:t xml:space="preserve"> Event (SAE):</w:t>
      </w:r>
      <w:r w:rsidRPr="0011504B">
        <w:rPr>
          <w:rStyle w:val="Heading1TimesCharChar"/>
          <w:color w:val="000000" w:themeColor="text1"/>
          <w:szCs w:val="24"/>
        </w:rPr>
        <w:t xml:space="preserve">  </w:t>
      </w:r>
    </w:p>
    <w:p w:rsidR="005635AF" w:rsidRPr="00AD2E9F" w:rsidRDefault="005635AF" w:rsidP="005635AF">
      <w:pPr>
        <w:pStyle w:val="DefaultChar"/>
        <w:spacing w:after="120"/>
      </w:pPr>
      <w:r w:rsidRPr="00AD2E9F">
        <w:t>Any adverse event that:</w:t>
      </w:r>
    </w:p>
    <w:p w:rsidR="005635AF" w:rsidRPr="00AD2E9F" w:rsidRDefault="005635AF" w:rsidP="005635AF">
      <w:pPr>
        <w:pStyle w:val="Bulletlisting"/>
        <w:spacing w:after="120"/>
        <w:rPr>
          <w:rFonts w:ascii="Arial" w:hAnsi="Arial"/>
        </w:rPr>
      </w:pPr>
      <w:r w:rsidRPr="00AD2E9F">
        <w:rPr>
          <w:rFonts w:ascii="Arial" w:hAnsi="Arial"/>
        </w:rPr>
        <w:t xml:space="preserve">Results in death </w:t>
      </w:r>
    </w:p>
    <w:p w:rsidR="005635AF" w:rsidRPr="00AD2E9F" w:rsidRDefault="005635AF" w:rsidP="005635AF">
      <w:pPr>
        <w:pStyle w:val="Bulletlisting"/>
        <w:spacing w:after="120"/>
        <w:rPr>
          <w:rFonts w:ascii="Arial" w:hAnsi="Arial"/>
        </w:rPr>
      </w:pPr>
      <w:r w:rsidRPr="00AD2E9F">
        <w:rPr>
          <w:rFonts w:ascii="Arial" w:hAnsi="Arial"/>
        </w:rPr>
        <w:t xml:space="preserve">Is life threatening, or places the participant at immediate risk of death from the event as it occurred </w:t>
      </w:r>
    </w:p>
    <w:p w:rsidR="005635AF" w:rsidRPr="00AD2E9F" w:rsidRDefault="005635AF" w:rsidP="005635AF">
      <w:pPr>
        <w:pStyle w:val="Bulletlisting"/>
        <w:spacing w:after="120"/>
        <w:rPr>
          <w:rFonts w:ascii="Arial" w:hAnsi="Arial"/>
        </w:rPr>
      </w:pPr>
      <w:r w:rsidRPr="00AD2E9F">
        <w:rPr>
          <w:rFonts w:ascii="Arial" w:hAnsi="Arial"/>
        </w:rPr>
        <w:t xml:space="preserve">Requires or prolongs hospitalization </w:t>
      </w:r>
    </w:p>
    <w:p w:rsidR="005635AF" w:rsidRPr="00AD2E9F" w:rsidRDefault="005635AF" w:rsidP="005635AF">
      <w:pPr>
        <w:pStyle w:val="Bulletlisting"/>
        <w:spacing w:after="120"/>
        <w:rPr>
          <w:rFonts w:ascii="Arial" w:hAnsi="Arial"/>
        </w:rPr>
      </w:pPr>
      <w:r w:rsidRPr="00AD2E9F">
        <w:rPr>
          <w:rFonts w:ascii="Arial" w:hAnsi="Arial"/>
        </w:rPr>
        <w:t xml:space="preserve">Causes persistent or significant disability or incapacity </w:t>
      </w:r>
    </w:p>
    <w:p w:rsidR="005635AF" w:rsidRPr="00AD2E9F" w:rsidRDefault="005635AF" w:rsidP="00BB364B">
      <w:pPr>
        <w:pStyle w:val="Bulletlisting"/>
        <w:spacing w:after="120"/>
        <w:rPr>
          <w:rFonts w:ascii="Arial" w:hAnsi="Arial"/>
        </w:rPr>
      </w:pPr>
      <w:r w:rsidRPr="00AD2E9F">
        <w:rPr>
          <w:rFonts w:ascii="Arial" w:hAnsi="Arial"/>
        </w:rPr>
        <w:t xml:space="preserve">Results in congenital anomalies or birth defects </w:t>
      </w:r>
    </w:p>
    <w:p w:rsidR="005635AF" w:rsidRDefault="005635AF" w:rsidP="00BB364B">
      <w:pPr>
        <w:pStyle w:val="Bulletlisting"/>
        <w:spacing w:after="120"/>
        <w:rPr>
          <w:rFonts w:ascii="Arial" w:hAnsi="Arial"/>
        </w:rPr>
      </w:pPr>
      <w:r w:rsidRPr="00AD2E9F">
        <w:rPr>
          <w:rFonts w:ascii="Arial" w:hAnsi="Arial"/>
        </w:rPr>
        <w:t>Is another condition which investigators judge to represent significant hazards</w:t>
      </w:r>
    </w:p>
    <w:p w:rsidR="005635AF" w:rsidRPr="0011504B" w:rsidRDefault="005635AF" w:rsidP="00D04AC5">
      <w:pPr>
        <w:pStyle w:val="Heading2"/>
      </w:pPr>
      <w:r w:rsidRPr="0011504B">
        <w:t xml:space="preserve">Unanticipated </w:t>
      </w:r>
      <w:r w:rsidRPr="00D04AC5">
        <w:t>Problem</w:t>
      </w:r>
      <w:r w:rsidR="00E07908" w:rsidRPr="0011504B">
        <w:rPr>
          <w:lang w:val="en-US"/>
        </w:rPr>
        <w:t xml:space="preserve"> (UP)</w:t>
      </w:r>
      <w:r w:rsidRPr="0011504B">
        <w:t xml:space="preserve">: </w:t>
      </w:r>
    </w:p>
    <w:p w:rsidR="005635AF" w:rsidRPr="00AD2E9F" w:rsidRDefault="005635AF" w:rsidP="005635AF">
      <w:pPr>
        <w:pStyle w:val="DefaultChar"/>
        <w:spacing w:after="120"/>
      </w:pPr>
      <w:r w:rsidRPr="00AD2E9F">
        <w:t>Defined by DHHS 45 CFR part 46 as any incident, experience, or outcome that meets all of the following criteria:</w:t>
      </w:r>
    </w:p>
    <w:p w:rsidR="005635AF" w:rsidRPr="00AD2E9F" w:rsidRDefault="005635AF" w:rsidP="005635AF">
      <w:pPr>
        <w:pStyle w:val="Bulletlisting"/>
        <w:spacing w:after="120"/>
        <w:rPr>
          <w:rFonts w:ascii="Arial" w:hAnsi="Arial"/>
        </w:rPr>
      </w:pPr>
      <w:r w:rsidRPr="00AD2E9F">
        <w:rPr>
          <w:rFonts w:ascii="Arial" w:hAnsi="Arial"/>
        </w:rPr>
        <w:lastRenderedPageBreak/>
        <w:t xml:space="preserve">unexpected, in terms of nature, severity, or frequency, given (a) the research procedures that are described in the protocol-related documents, such as the IRB-approved research protocol and informed consent document; and (b) the characteristics of the study population; </w:t>
      </w:r>
    </w:p>
    <w:p w:rsidR="005635AF" w:rsidRPr="00AD2E9F" w:rsidRDefault="005635AF" w:rsidP="005635AF">
      <w:pPr>
        <w:pStyle w:val="Bulletlisting"/>
        <w:spacing w:after="120"/>
        <w:rPr>
          <w:rFonts w:ascii="Arial" w:hAnsi="Arial"/>
        </w:rPr>
      </w:pPr>
      <w:r w:rsidRPr="00AD2E9F">
        <w:rPr>
          <w:rFonts w:ascii="Arial" w:hAnsi="Arial"/>
        </w:rPr>
        <w:t xml:space="preserve">related or possibly related to participation in the research (in this guidance document, possibly related means there is a reasonable possibility that the incident, experience, or outcome may have been caused by the procedures involved in the research); </w:t>
      </w:r>
    </w:p>
    <w:p w:rsidR="005635AF" w:rsidRPr="00AD2E9F" w:rsidRDefault="005635AF" w:rsidP="00D04AC5">
      <w:pPr>
        <w:pStyle w:val="Bulletlisting"/>
        <w:spacing w:after="120"/>
        <w:rPr>
          <w:rFonts w:ascii="Arial" w:hAnsi="Arial"/>
        </w:rPr>
      </w:pPr>
      <w:proofErr w:type="gramStart"/>
      <w:r w:rsidRPr="00AD2E9F">
        <w:rPr>
          <w:rFonts w:ascii="Arial" w:hAnsi="Arial"/>
        </w:rPr>
        <w:t>suggests</w:t>
      </w:r>
      <w:proofErr w:type="gramEnd"/>
      <w:r w:rsidRPr="00AD2E9F">
        <w:rPr>
          <w:rFonts w:ascii="Arial" w:hAnsi="Arial"/>
        </w:rPr>
        <w:t xml:space="preserve"> that the research places participants or others at a greater risk of harm (including physical, psychological, economic, or social harm) than was previously known or recognized.</w:t>
      </w:r>
    </w:p>
    <w:p w:rsidR="005635AF" w:rsidRPr="0011504B" w:rsidRDefault="005635AF" w:rsidP="00D04AC5">
      <w:pPr>
        <w:pStyle w:val="Heading2"/>
      </w:pPr>
      <w:r w:rsidRPr="0011504B">
        <w:t xml:space="preserve">Adverse Events versus </w:t>
      </w:r>
      <w:r w:rsidRPr="00D04AC5">
        <w:t>Unanticipated</w:t>
      </w:r>
      <w:r w:rsidRPr="0011504B">
        <w:t xml:space="preserve"> Problems </w:t>
      </w:r>
    </w:p>
    <w:p w:rsidR="007D11F5" w:rsidRPr="00AC24F6" w:rsidRDefault="007D11F5" w:rsidP="0011504B">
      <w:pPr>
        <w:pStyle w:val="Bulletlisting"/>
        <w:spacing w:before="240" w:after="240"/>
        <w:rPr>
          <w:rFonts w:ascii="Arial" w:hAnsi="Arial"/>
        </w:rPr>
      </w:pPr>
      <w:r w:rsidRPr="00AC24F6">
        <w:rPr>
          <w:rFonts w:ascii="Arial" w:hAnsi="Arial"/>
        </w:rPr>
        <w:t>The vast majority of adverse events occurring in human subjects are not unanticipated problems.</w:t>
      </w:r>
    </w:p>
    <w:p w:rsidR="007D11F5" w:rsidRPr="00AC24F6" w:rsidRDefault="007D11F5" w:rsidP="00AC24F6">
      <w:pPr>
        <w:pStyle w:val="Bulletlisting"/>
        <w:spacing w:after="120"/>
        <w:rPr>
          <w:rFonts w:ascii="Arial" w:hAnsi="Arial"/>
        </w:rPr>
      </w:pPr>
      <w:r w:rsidRPr="00AC24F6">
        <w:rPr>
          <w:rFonts w:ascii="Arial" w:hAnsi="Arial"/>
        </w:rPr>
        <w:t>A small proportion of adverse events are unanticipated problems.</w:t>
      </w:r>
    </w:p>
    <w:p w:rsidR="007D11F5" w:rsidRPr="000E4F5C" w:rsidRDefault="007D11F5" w:rsidP="00D04AC5">
      <w:pPr>
        <w:pStyle w:val="Bulletlisting"/>
        <w:spacing w:afterLines="120" w:after="288"/>
        <w:rPr>
          <w:rFonts w:ascii="Arial" w:hAnsi="Arial"/>
        </w:rPr>
      </w:pPr>
      <w:r w:rsidRPr="00AC24F6">
        <w:rPr>
          <w:rFonts w:ascii="Arial" w:hAnsi="Arial"/>
        </w:rPr>
        <w:t>Unanticipated problems include other incidents, experiences, and outcomes that are not adverse events</w:t>
      </w:r>
      <w:r>
        <w:rPr>
          <w:rFonts w:ascii="Arial" w:hAnsi="Arial"/>
        </w:rPr>
        <w:t>.</w:t>
      </w:r>
    </w:p>
    <w:p w:rsidR="005635AF" w:rsidRPr="0011504B" w:rsidRDefault="005635AF" w:rsidP="00D04AC5">
      <w:pPr>
        <w:pStyle w:val="Heading1"/>
        <w:spacing w:afterLines="120" w:after="288"/>
        <w:rPr>
          <w:rStyle w:val="Strong"/>
        </w:rPr>
      </w:pPr>
      <w:bookmarkStart w:id="0" w:name="_Toc173055050"/>
      <w:r w:rsidRPr="00D04AC5">
        <w:t>RESPONSIBILITIES</w:t>
      </w:r>
    </w:p>
    <w:p w:rsidR="005635AF" w:rsidRPr="00AD2E9F" w:rsidRDefault="005635AF" w:rsidP="005635AF">
      <w:pPr>
        <w:pStyle w:val="DefaultChar"/>
        <w:rPr>
          <w:rStyle w:val="Strong"/>
        </w:rPr>
      </w:pPr>
      <w:r w:rsidRPr="00AD2E9F">
        <w:t>Both the NIA and the investigators it funds have responsibilities with respect to safety reporting.</w:t>
      </w:r>
    </w:p>
    <w:p w:rsidR="00E66574" w:rsidRPr="0011504B" w:rsidRDefault="00E66574" w:rsidP="00D04AC5">
      <w:pPr>
        <w:pStyle w:val="Heading2"/>
      </w:pPr>
      <w:r w:rsidRPr="00D04AC5">
        <w:t>Investigators</w:t>
      </w:r>
    </w:p>
    <w:p w:rsidR="00E66574" w:rsidRPr="00AD2E9F" w:rsidRDefault="00E66574" w:rsidP="00E66574">
      <w:pPr>
        <w:pStyle w:val="DefaultChar"/>
        <w:spacing w:after="120"/>
      </w:pPr>
      <w:r w:rsidRPr="00AD2E9F">
        <w:t>Investigators conducting clinical research are responsible for:</w:t>
      </w:r>
    </w:p>
    <w:p w:rsidR="00E66574" w:rsidRPr="00AD2E9F" w:rsidRDefault="00E66574" w:rsidP="00E66574">
      <w:pPr>
        <w:pStyle w:val="Bulletlisting"/>
        <w:spacing w:after="120"/>
        <w:rPr>
          <w:rFonts w:ascii="Arial" w:hAnsi="Arial"/>
        </w:rPr>
      </w:pPr>
      <w:r w:rsidRPr="00AD2E9F">
        <w:rPr>
          <w:rFonts w:ascii="Arial" w:hAnsi="Arial"/>
        </w:rPr>
        <w:t>Assurance that their protocols are conducted in compliance with these guidelines.</w:t>
      </w:r>
    </w:p>
    <w:p w:rsidR="009B6870" w:rsidRPr="00AC24F6" w:rsidRDefault="00E66574" w:rsidP="00E66574">
      <w:pPr>
        <w:pStyle w:val="Bulletlisting"/>
        <w:spacing w:after="120"/>
        <w:rPr>
          <w:rFonts w:ascii="Arial" w:hAnsi="Arial"/>
        </w:rPr>
      </w:pPr>
      <w:r w:rsidRPr="00F6453B">
        <w:rPr>
          <w:rFonts w:ascii="Arial" w:hAnsi="Arial"/>
        </w:rPr>
        <w:t>Submission of IRB-approved protocol to the NIA program office</w:t>
      </w:r>
      <w:r w:rsidR="00F25D89" w:rsidRPr="00F6453B">
        <w:rPr>
          <w:rFonts w:ascii="Arial" w:hAnsi="Arial"/>
        </w:rPr>
        <w:t xml:space="preserve"> and to the </w:t>
      </w:r>
      <w:r w:rsidR="00D62F32" w:rsidRPr="00AC24F6">
        <w:rPr>
          <w:rFonts w:ascii="Arial" w:hAnsi="Arial"/>
        </w:rPr>
        <w:t>Data and Safety Monitoring Board (DSMB)</w:t>
      </w:r>
      <w:r w:rsidRPr="00AC24F6">
        <w:rPr>
          <w:rFonts w:ascii="Arial" w:hAnsi="Arial"/>
        </w:rPr>
        <w:t xml:space="preserve">. </w:t>
      </w:r>
      <w:r w:rsidR="005B6A16" w:rsidRPr="00AC24F6">
        <w:rPr>
          <w:rFonts w:ascii="Arial" w:hAnsi="Arial"/>
        </w:rPr>
        <w:t xml:space="preserve"> </w:t>
      </w:r>
    </w:p>
    <w:p w:rsidR="00E66574" w:rsidRPr="00AC24F6" w:rsidRDefault="009B6870" w:rsidP="001C595D">
      <w:pPr>
        <w:pStyle w:val="Bulletlisting"/>
        <w:numPr>
          <w:ilvl w:val="0"/>
          <w:numId w:val="0"/>
        </w:numPr>
        <w:spacing w:after="120"/>
        <w:ind w:left="1080"/>
        <w:rPr>
          <w:rFonts w:ascii="Arial" w:hAnsi="Arial"/>
        </w:rPr>
      </w:pPr>
      <w:r w:rsidRPr="001C595D">
        <w:rPr>
          <w:rFonts w:ascii="Arial" w:hAnsi="Arial"/>
        </w:rPr>
        <w:t>A</w:t>
      </w:r>
      <w:r w:rsidR="00E66574" w:rsidRPr="00F6453B">
        <w:rPr>
          <w:rFonts w:ascii="Arial" w:hAnsi="Arial"/>
        </w:rPr>
        <w:t xml:space="preserve"> </w:t>
      </w:r>
      <w:r w:rsidR="00D62F32" w:rsidRPr="00AC24F6">
        <w:rPr>
          <w:rFonts w:ascii="Arial" w:hAnsi="Arial"/>
        </w:rPr>
        <w:t>Data and Safety Monitoring Plan (DSMP)</w:t>
      </w:r>
      <w:r w:rsidR="00E66574" w:rsidRPr="00F6453B">
        <w:rPr>
          <w:rFonts w:ascii="Arial" w:hAnsi="Arial"/>
        </w:rPr>
        <w:t xml:space="preserve"> that is commensurate with the study risk and reflects this guideline</w:t>
      </w:r>
      <w:r w:rsidRPr="00AC24F6">
        <w:rPr>
          <w:rFonts w:ascii="Arial" w:hAnsi="Arial"/>
        </w:rPr>
        <w:t xml:space="preserve"> should also be submitted </w:t>
      </w:r>
      <w:r w:rsidRPr="001C595D">
        <w:rPr>
          <w:rFonts w:ascii="Arial" w:hAnsi="Arial"/>
        </w:rPr>
        <w:t>either</w:t>
      </w:r>
      <w:r w:rsidRPr="00F6453B">
        <w:rPr>
          <w:rFonts w:ascii="Arial" w:hAnsi="Arial"/>
        </w:rPr>
        <w:t xml:space="preserve"> as </w:t>
      </w:r>
      <w:r w:rsidRPr="001C595D">
        <w:rPr>
          <w:rFonts w:ascii="Arial" w:hAnsi="Arial"/>
        </w:rPr>
        <w:t xml:space="preserve">part of </w:t>
      </w:r>
      <w:r w:rsidRPr="00F6453B">
        <w:rPr>
          <w:rFonts w:ascii="Arial" w:hAnsi="Arial"/>
        </w:rPr>
        <w:t>the</w:t>
      </w:r>
      <w:r w:rsidRPr="001C595D">
        <w:rPr>
          <w:rFonts w:ascii="Arial" w:hAnsi="Arial"/>
        </w:rPr>
        <w:t xml:space="preserve"> application or a separate </w:t>
      </w:r>
      <w:r w:rsidRPr="00F6453B">
        <w:rPr>
          <w:rFonts w:ascii="Arial" w:hAnsi="Arial"/>
        </w:rPr>
        <w:t>document</w:t>
      </w:r>
      <w:r w:rsidRPr="00AC24F6">
        <w:rPr>
          <w:rFonts w:ascii="Arial" w:hAnsi="Arial"/>
        </w:rPr>
        <w:t>.</w:t>
      </w:r>
    </w:p>
    <w:p w:rsidR="00E66574" w:rsidRPr="00AD2E9F" w:rsidRDefault="00E66574" w:rsidP="00E66574">
      <w:pPr>
        <w:pStyle w:val="Bulletlisting"/>
        <w:numPr>
          <w:ilvl w:val="1"/>
          <w:numId w:val="3"/>
        </w:numPr>
        <w:spacing w:after="120"/>
        <w:rPr>
          <w:rFonts w:ascii="Arial" w:hAnsi="Arial"/>
        </w:rPr>
      </w:pPr>
      <w:r>
        <w:rPr>
          <w:rFonts w:ascii="Arial" w:hAnsi="Arial"/>
        </w:rPr>
        <w:t xml:space="preserve">The </w:t>
      </w:r>
      <w:r w:rsidRPr="00AD2E9F">
        <w:rPr>
          <w:rFonts w:ascii="Arial" w:hAnsi="Arial"/>
        </w:rPr>
        <w:t>DSM</w:t>
      </w:r>
      <w:r>
        <w:rPr>
          <w:rFonts w:ascii="Arial" w:hAnsi="Arial"/>
        </w:rPr>
        <w:t xml:space="preserve">P should </w:t>
      </w:r>
      <w:r w:rsidRPr="00AD2E9F">
        <w:rPr>
          <w:rFonts w:ascii="Arial" w:hAnsi="Arial"/>
        </w:rPr>
        <w:t xml:space="preserve">describe </w:t>
      </w:r>
      <w:r>
        <w:rPr>
          <w:rFonts w:ascii="Arial" w:hAnsi="Arial"/>
        </w:rPr>
        <w:t xml:space="preserve">collection and reporting </w:t>
      </w:r>
      <w:r w:rsidRPr="00AD2E9F">
        <w:rPr>
          <w:rFonts w:ascii="Arial" w:hAnsi="Arial"/>
        </w:rPr>
        <w:t>plans for adverse events, serious adverse events, and unanticipated problems commensurate with nature and complexity of</w:t>
      </w:r>
      <w:r>
        <w:rPr>
          <w:rFonts w:ascii="Arial" w:hAnsi="Arial"/>
        </w:rPr>
        <w:t xml:space="preserve"> the</w:t>
      </w:r>
      <w:r w:rsidRPr="00AD2E9F">
        <w:rPr>
          <w:rFonts w:ascii="Arial" w:hAnsi="Arial"/>
        </w:rPr>
        <w:t xml:space="preserve"> study.</w:t>
      </w:r>
    </w:p>
    <w:p w:rsidR="009B6870" w:rsidRPr="001C595D" w:rsidRDefault="00E66574" w:rsidP="00E66574">
      <w:pPr>
        <w:pStyle w:val="Bulletlisting"/>
        <w:numPr>
          <w:ilvl w:val="1"/>
          <w:numId w:val="3"/>
        </w:numPr>
        <w:spacing w:after="120"/>
        <w:rPr>
          <w:rFonts w:ascii="Arial" w:eastAsia="Arial" w:hAnsi="Arial"/>
        </w:rPr>
      </w:pPr>
      <w:r>
        <w:rPr>
          <w:rFonts w:ascii="Arial" w:hAnsi="Arial"/>
        </w:rPr>
        <w:t xml:space="preserve">The DSMP should include recipients of Serious </w:t>
      </w:r>
      <w:r w:rsidRPr="00AD2E9F">
        <w:rPr>
          <w:rFonts w:ascii="Arial" w:hAnsi="Arial"/>
        </w:rPr>
        <w:t>Adverse Event and Unanticipated Problem report</w:t>
      </w:r>
      <w:r>
        <w:rPr>
          <w:rFonts w:ascii="Arial" w:hAnsi="Arial"/>
        </w:rPr>
        <w:t>s</w:t>
      </w:r>
      <w:r w:rsidRPr="00AD2E9F">
        <w:rPr>
          <w:rFonts w:ascii="Arial" w:hAnsi="Arial"/>
        </w:rPr>
        <w:t xml:space="preserve"> </w:t>
      </w:r>
      <w:r>
        <w:rPr>
          <w:rFonts w:ascii="Arial" w:hAnsi="Arial"/>
        </w:rPr>
        <w:t>(e.g. Institutional Review Boards (</w:t>
      </w:r>
      <w:r w:rsidRPr="00AD2E9F">
        <w:rPr>
          <w:rFonts w:ascii="Arial" w:hAnsi="Arial"/>
        </w:rPr>
        <w:t>IRBs</w:t>
      </w:r>
      <w:r>
        <w:rPr>
          <w:rFonts w:ascii="Arial" w:hAnsi="Arial"/>
        </w:rPr>
        <w:t>), DSMB or Safety Officer,</w:t>
      </w:r>
      <w:r w:rsidRPr="00AD2E9F">
        <w:rPr>
          <w:rFonts w:ascii="Arial" w:hAnsi="Arial"/>
        </w:rPr>
        <w:t xml:space="preserve"> and NIA</w:t>
      </w:r>
      <w:r>
        <w:rPr>
          <w:rFonts w:ascii="Arial" w:hAnsi="Arial"/>
        </w:rPr>
        <w:t>)</w:t>
      </w:r>
      <w:r w:rsidRPr="00AD2E9F">
        <w:rPr>
          <w:rFonts w:ascii="Arial" w:hAnsi="Arial"/>
        </w:rPr>
        <w:t>.</w:t>
      </w:r>
      <w:r w:rsidR="009B6870">
        <w:rPr>
          <w:rFonts w:ascii="Arial" w:hAnsi="Arial"/>
        </w:rPr>
        <w:t xml:space="preserve"> </w:t>
      </w:r>
    </w:p>
    <w:p w:rsidR="00E66574" w:rsidRPr="00AD2E9F" w:rsidRDefault="009B6870" w:rsidP="001C595D">
      <w:pPr>
        <w:pStyle w:val="Bulletlisting"/>
        <w:numPr>
          <w:ilvl w:val="0"/>
          <w:numId w:val="0"/>
        </w:numPr>
        <w:spacing w:after="120"/>
        <w:ind w:left="1440"/>
        <w:rPr>
          <w:rFonts w:ascii="Arial" w:eastAsia="Arial" w:hAnsi="Arial"/>
        </w:rPr>
      </w:pPr>
      <w:r w:rsidRPr="001C595D">
        <w:rPr>
          <w:rFonts w:ascii="Arial" w:hAnsi="Arial"/>
        </w:rPr>
        <w:lastRenderedPageBreak/>
        <w:t>The DSMB should approve both the protocol and the DSMP.</w:t>
      </w:r>
    </w:p>
    <w:p w:rsidR="00E66574" w:rsidRPr="0011504B" w:rsidRDefault="00E66574" w:rsidP="0011504B">
      <w:pPr>
        <w:pStyle w:val="Bulletlisting"/>
        <w:numPr>
          <w:ilvl w:val="0"/>
          <w:numId w:val="5"/>
        </w:numPr>
        <w:spacing w:after="120"/>
        <w:rPr>
          <w:rFonts w:ascii="Arial" w:eastAsia="Arial" w:hAnsi="Arial"/>
        </w:rPr>
      </w:pPr>
      <w:r w:rsidRPr="00AD2E9F">
        <w:rPr>
          <w:rFonts w:ascii="Arial" w:hAnsi="Arial"/>
        </w:rPr>
        <w:t>Adherence to the DSM</w:t>
      </w:r>
      <w:r>
        <w:rPr>
          <w:rFonts w:ascii="Arial" w:hAnsi="Arial"/>
        </w:rPr>
        <w:t xml:space="preserve">P </w:t>
      </w:r>
      <w:r w:rsidRPr="00AD2E9F">
        <w:rPr>
          <w:rFonts w:ascii="Arial" w:hAnsi="Arial"/>
        </w:rPr>
        <w:t>with respect to timely submission of adverse events, serious adverse events, and unanticipated problems.</w:t>
      </w:r>
    </w:p>
    <w:p w:rsidR="005635AF" w:rsidRPr="0011504B" w:rsidRDefault="005635AF" w:rsidP="00D04AC5">
      <w:pPr>
        <w:pStyle w:val="Heading2"/>
      </w:pPr>
      <w:r w:rsidRPr="00D04AC5">
        <w:t>NIA</w:t>
      </w:r>
    </w:p>
    <w:p w:rsidR="005635AF" w:rsidRPr="00AD2E9F" w:rsidRDefault="005635AF" w:rsidP="005635AF">
      <w:pPr>
        <w:pStyle w:val="DefaultChar"/>
        <w:spacing w:after="120"/>
      </w:pPr>
      <w:r w:rsidRPr="00AD2E9F">
        <w:t>NIA program staff members are responsible for providing:</w:t>
      </w:r>
    </w:p>
    <w:p w:rsidR="005635AF" w:rsidRPr="00AD2E9F" w:rsidRDefault="005635AF" w:rsidP="005635AF">
      <w:pPr>
        <w:pStyle w:val="Bulletlisting"/>
        <w:spacing w:after="120"/>
        <w:rPr>
          <w:rFonts w:ascii="Arial" w:hAnsi="Arial"/>
        </w:rPr>
      </w:pPr>
      <w:r w:rsidRPr="00AD2E9F">
        <w:rPr>
          <w:rFonts w:ascii="Arial" w:hAnsi="Arial"/>
        </w:rPr>
        <w:t>Assistance to extramural investigators in understanding and applying adverse event and serious adverse event guidelines and for ensuring compliance with OHRP guidance in all NIA funded clinical research.</w:t>
      </w:r>
    </w:p>
    <w:p w:rsidR="005635AF" w:rsidRPr="00AD2E9F" w:rsidRDefault="005635AF" w:rsidP="005635AF">
      <w:pPr>
        <w:pStyle w:val="Bulletlisting"/>
        <w:spacing w:after="120"/>
        <w:rPr>
          <w:rFonts w:ascii="Arial" w:hAnsi="Arial"/>
        </w:rPr>
      </w:pPr>
      <w:r w:rsidRPr="00AD2E9F">
        <w:rPr>
          <w:rFonts w:ascii="Arial" w:hAnsi="Arial"/>
        </w:rPr>
        <w:t>Oversight of these guidelines, which includes periodic review and revision as relevant rules and regulations change.</w:t>
      </w:r>
    </w:p>
    <w:p w:rsidR="005635AF" w:rsidRPr="00AD2E9F" w:rsidRDefault="005635AF" w:rsidP="005635AF">
      <w:pPr>
        <w:pStyle w:val="Bulletlisting"/>
        <w:spacing w:after="120"/>
        <w:rPr>
          <w:rFonts w:ascii="Arial" w:hAnsi="Arial"/>
        </w:rPr>
      </w:pPr>
      <w:r w:rsidRPr="00AD2E9F">
        <w:rPr>
          <w:rFonts w:ascii="Arial" w:hAnsi="Arial"/>
        </w:rPr>
        <w:t>Assurance that the DSM</w:t>
      </w:r>
      <w:r>
        <w:rPr>
          <w:rFonts w:ascii="Arial" w:hAnsi="Arial"/>
        </w:rPr>
        <w:t>P</w:t>
      </w:r>
      <w:r w:rsidRPr="00AD2E9F">
        <w:rPr>
          <w:rFonts w:ascii="Arial" w:hAnsi="Arial"/>
        </w:rPr>
        <w:t xml:space="preserve"> addresses reporting of adverse events, serious adverse events, and unanticipated problems.</w:t>
      </w:r>
    </w:p>
    <w:p w:rsidR="005635AF" w:rsidRPr="00AD2E9F" w:rsidRDefault="005635AF" w:rsidP="005635AF">
      <w:pPr>
        <w:pStyle w:val="Bulletlisting"/>
        <w:spacing w:after="120"/>
        <w:rPr>
          <w:rFonts w:ascii="Arial" w:hAnsi="Arial"/>
        </w:rPr>
      </w:pPr>
      <w:r w:rsidRPr="00AD2E9F">
        <w:rPr>
          <w:rFonts w:ascii="Arial" w:hAnsi="Arial"/>
        </w:rPr>
        <w:t xml:space="preserve">Verification that all corrective action plans </w:t>
      </w:r>
      <w:proofErr w:type="gramStart"/>
      <w:r w:rsidRPr="00AD2E9F">
        <w:rPr>
          <w:rFonts w:ascii="Arial" w:hAnsi="Arial"/>
        </w:rPr>
        <w:t>have</w:t>
      </w:r>
      <w:proofErr w:type="gramEnd"/>
      <w:r w:rsidRPr="00AD2E9F">
        <w:rPr>
          <w:rFonts w:ascii="Arial" w:hAnsi="Arial"/>
        </w:rPr>
        <w:t xml:space="preserve"> been adequately implemented.</w:t>
      </w:r>
    </w:p>
    <w:p w:rsidR="005635AF" w:rsidRPr="00AD2E9F" w:rsidRDefault="005635AF" w:rsidP="005635AF">
      <w:pPr>
        <w:pStyle w:val="Bulletlisting"/>
        <w:spacing w:after="120"/>
        <w:rPr>
          <w:rFonts w:ascii="Arial" w:hAnsi="Arial"/>
          <w:b/>
          <w:bCs/>
          <w:i/>
          <w:color w:val="000000"/>
        </w:rPr>
      </w:pPr>
      <w:r w:rsidRPr="00AD2E9F">
        <w:rPr>
          <w:rFonts w:ascii="Arial" w:hAnsi="Arial"/>
        </w:rPr>
        <w:t xml:space="preserve">Assurance that the study has an independent safety monitoring body commensurate with study risk </w:t>
      </w:r>
      <w:r w:rsidR="009477F5">
        <w:rPr>
          <w:rFonts w:ascii="Arial" w:hAnsi="Arial"/>
        </w:rPr>
        <w:t>(DSMB</w:t>
      </w:r>
      <w:r w:rsidRPr="00AD2E9F">
        <w:rPr>
          <w:rFonts w:ascii="Arial" w:hAnsi="Arial"/>
        </w:rPr>
        <w:t xml:space="preserve"> or Safety Officer).</w:t>
      </w:r>
    </w:p>
    <w:p w:rsidR="005635AF" w:rsidRPr="00AD2E9F" w:rsidRDefault="005635AF" w:rsidP="00D04AC5">
      <w:pPr>
        <w:pStyle w:val="Bulletlisting"/>
        <w:spacing w:afterLines="120" w:after="288"/>
        <w:rPr>
          <w:rStyle w:val="Strong"/>
          <w:rFonts w:ascii="Arial" w:hAnsi="Arial"/>
          <w:i/>
          <w:color w:val="000000"/>
        </w:rPr>
      </w:pPr>
      <w:r w:rsidRPr="00AD2E9F">
        <w:rPr>
          <w:rFonts w:ascii="Arial" w:hAnsi="Arial"/>
        </w:rPr>
        <w:t xml:space="preserve">Ongoing oversight of the safety reporting process to assure that potential safety issues are addressed. </w:t>
      </w:r>
    </w:p>
    <w:p w:rsidR="005635AF" w:rsidRPr="00801FDC" w:rsidRDefault="005635AF" w:rsidP="00D04AC5">
      <w:pPr>
        <w:pStyle w:val="Heading1"/>
        <w:spacing w:afterLines="120" w:after="288"/>
      </w:pPr>
      <w:r w:rsidRPr="00801FDC">
        <w:t>REPORTING PROCESSES</w:t>
      </w:r>
    </w:p>
    <w:p w:rsidR="005635AF" w:rsidRPr="00AD2E9F" w:rsidRDefault="005635AF" w:rsidP="005635AF">
      <w:pPr>
        <w:pStyle w:val="DefaultChar"/>
      </w:pPr>
      <w:r w:rsidRPr="00AD2E9F">
        <w:t xml:space="preserve">Adverse </w:t>
      </w:r>
      <w:r w:rsidR="00921C4A" w:rsidRPr="00AD2E9F">
        <w:t>Events</w:t>
      </w:r>
      <w:r w:rsidRPr="00AD2E9F">
        <w:t xml:space="preserve">, Serious Adverse Events, and Unanticipated Problems have specific reporting procedures. </w:t>
      </w:r>
      <w:bookmarkStart w:id="1" w:name="_Toc511794377"/>
      <w:bookmarkStart w:id="2" w:name="_Toc530198571"/>
      <w:bookmarkStart w:id="3" w:name="_Toc161563992"/>
      <w:bookmarkStart w:id="4" w:name="_Toc173055049"/>
    </w:p>
    <w:p w:rsidR="005635AF" w:rsidRPr="00801FDC" w:rsidRDefault="005635AF" w:rsidP="00801FDC">
      <w:pPr>
        <w:pStyle w:val="Heading2"/>
        <w:spacing w:before="240" w:after="240"/>
        <w:rPr>
          <w:rFonts w:cs="Arial"/>
          <w:color w:val="000000" w:themeColor="text1"/>
          <w:szCs w:val="24"/>
        </w:rPr>
      </w:pPr>
      <w:r w:rsidRPr="00801FDC">
        <w:rPr>
          <w:rFonts w:cs="Arial"/>
          <w:color w:val="000000" w:themeColor="text1"/>
          <w:szCs w:val="24"/>
        </w:rPr>
        <w:t>Adverse Event Reporting</w:t>
      </w:r>
      <w:bookmarkEnd w:id="1"/>
      <w:bookmarkEnd w:id="2"/>
      <w:bookmarkEnd w:id="3"/>
      <w:bookmarkEnd w:id="4"/>
    </w:p>
    <w:p w:rsidR="005635AF" w:rsidRPr="00AD2E9F" w:rsidRDefault="005635AF" w:rsidP="005635AF">
      <w:pPr>
        <w:pStyle w:val="DefaultChar"/>
      </w:pPr>
      <w:r w:rsidRPr="00AD2E9F">
        <w:t xml:space="preserve">All AEs are collected on an Adverse Event Form, </w:t>
      </w:r>
      <w:r w:rsidR="00921C4A">
        <w:t>either in paper or electronic format. A</w:t>
      </w:r>
      <w:r w:rsidRPr="00AD2E9F">
        <w:t xml:space="preserve"> sample </w:t>
      </w:r>
      <w:r w:rsidR="00921C4A">
        <w:t>AE Form</w:t>
      </w:r>
      <w:r w:rsidRPr="00AD2E9F">
        <w:t xml:space="preserve"> is shown in </w:t>
      </w:r>
      <w:hyperlink r:id="rId10" w:history="1">
        <w:r w:rsidRPr="00C13132">
          <w:rPr>
            <w:rStyle w:val="Hyperlink"/>
          </w:rPr>
          <w:t>Adverse Event Form</w:t>
        </w:r>
      </w:hyperlink>
      <w:r w:rsidR="002E390C">
        <w:t>.</w:t>
      </w:r>
      <w:r w:rsidRPr="00AD2E9F">
        <w:t xml:space="preserve"> All AEs experienced by the participant during the time frame specified in the protocol (e.g., from the </w:t>
      </w:r>
      <w:r w:rsidR="00FE1CEA">
        <w:t>start of intervention</w:t>
      </w:r>
      <w:r w:rsidRPr="00AD2E9F">
        <w:t xml:space="preserve"> through the end of the study) are to be reported, as outlined in the protocol. </w:t>
      </w:r>
      <w:r w:rsidR="00921C4A">
        <w:t xml:space="preserve">The reporting requirements to the IRB, </w:t>
      </w:r>
      <w:r w:rsidR="005E0095">
        <w:t xml:space="preserve">to the NIA and to the FDA (in case of drug </w:t>
      </w:r>
      <w:r w:rsidR="00FE1CEA">
        <w:t xml:space="preserve">and device </w:t>
      </w:r>
      <w:r w:rsidR="005E0095">
        <w:t xml:space="preserve">studies) may differ and </w:t>
      </w:r>
      <w:r w:rsidR="00FE1CEA">
        <w:t>must</w:t>
      </w:r>
      <w:r w:rsidR="005E0095">
        <w:t xml:space="preserve"> be complied with.</w:t>
      </w:r>
    </w:p>
    <w:p w:rsidR="005635AF" w:rsidRPr="00AD2E9F" w:rsidRDefault="005635AF" w:rsidP="005635AF">
      <w:pPr>
        <w:pStyle w:val="DefaultChar"/>
      </w:pPr>
    </w:p>
    <w:p w:rsidR="005635AF" w:rsidRPr="00AD2E9F" w:rsidRDefault="005635AF" w:rsidP="005635AF">
      <w:pPr>
        <w:pStyle w:val="DefaultChar"/>
      </w:pPr>
      <w:r w:rsidRPr="00AD2E9F">
        <w:t>Please note that the AE form contains a column to indicate whether the event is SERIOUS. Thus, SAEs are a subset of the reported AEs.</w:t>
      </w:r>
    </w:p>
    <w:p w:rsidR="005635AF" w:rsidRPr="00AD2E9F" w:rsidRDefault="005635AF" w:rsidP="005635AF">
      <w:pPr>
        <w:tabs>
          <w:tab w:val="left" w:pos="-1440"/>
        </w:tabs>
      </w:pPr>
    </w:p>
    <w:p w:rsidR="005635AF" w:rsidRPr="00AD2E9F" w:rsidRDefault="005635AF" w:rsidP="005635AF">
      <w:pPr>
        <w:pStyle w:val="DefaultChar"/>
      </w:pPr>
      <w:r w:rsidRPr="00AD2E9F">
        <w:t>Routine reporting of AEs is described in the DSM</w:t>
      </w:r>
      <w:r>
        <w:t xml:space="preserve">P </w:t>
      </w:r>
      <w:r w:rsidRPr="00AD2E9F">
        <w:t>and may be monthly or quarterly as determined with the NIA staff and /or the DSMB/Safety Officer</w:t>
      </w:r>
      <w:r>
        <w:t>.</w:t>
      </w:r>
    </w:p>
    <w:p w:rsidR="005635AF" w:rsidRPr="00801FDC" w:rsidRDefault="005635AF" w:rsidP="00801FDC">
      <w:pPr>
        <w:pStyle w:val="Heading2"/>
        <w:spacing w:before="240"/>
        <w:rPr>
          <w:rFonts w:cs="Arial"/>
          <w:color w:val="000000" w:themeColor="text1"/>
          <w:szCs w:val="24"/>
        </w:rPr>
      </w:pPr>
      <w:r w:rsidRPr="00801FDC">
        <w:rPr>
          <w:rFonts w:cs="Arial"/>
          <w:color w:val="000000" w:themeColor="text1"/>
          <w:szCs w:val="24"/>
        </w:rPr>
        <w:t>Serious Adverse Event Reporting</w:t>
      </w:r>
    </w:p>
    <w:p w:rsidR="005635AF" w:rsidRPr="00AD2E9F" w:rsidRDefault="005635AF" w:rsidP="005635AF">
      <w:pPr>
        <w:pStyle w:val="DefaultChar"/>
      </w:pPr>
      <w:r w:rsidRPr="00AD2E9F">
        <w:t xml:space="preserve">All SAEs, unless otherwise specified in the protocol and approved by the IRB and NIA or DSMB (as applicable), require expedited reporting by the Principal Investigator to the </w:t>
      </w:r>
      <w:r w:rsidRPr="00AD2E9F">
        <w:lastRenderedPageBreak/>
        <w:t xml:space="preserve">study's safety monitoring bodies. An expedited report of an SAE can be submitted by telephone, fax, or email and must be reported to the independent safety monitoring body (i.e., DSMB or Safety Officer) and the NIA </w:t>
      </w:r>
      <w:r w:rsidRPr="00A5580B">
        <w:t>within 24 hours</w:t>
      </w:r>
      <w:r w:rsidRPr="00AD2E9F">
        <w:t xml:space="preserve"> of </w:t>
      </w:r>
      <w:r>
        <w:t xml:space="preserve">the event </w:t>
      </w:r>
      <w:r w:rsidRPr="00AD2E9F">
        <w:t>being reported to the Investigator or as specified in the DSM</w:t>
      </w:r>
      <w:r>
        <w:t>P</w:t>
      </w:r>
      <w:r w:rsidRPr="00AD2E9F">
        <w:t xml:space="preserve">. </w:t>
      </w:r>
    </w:p>
    <w:p w:rsidR="005635AF" w:rsidRPr="00AD2E9F" w:rsidRDefault="005635AF" w:rsidP="005635AF">
      <w:pPr>
        <w:pStyle w:val="DefaultChar"/>
      </w:pPr>
    </w:p>
    <w:p w:rsidR="005635AF" w:rsidRPr="00C13132" w:rsidRDefault="005635AF" w:rsidP="005635AF">
      <w:pPr>
        <w:pStyle w:val="DefaultChar"/>
        <w:rPr>
          <w:rStyle w:val="Hyperlink"/>
        </w:rPr>
      </w:pPr>
      <w:r w:rsidRPr="00AD2E9F">
        <w:t xml:space="preserve">The expedited report should be followed by </w:t>
      </w:r>
      <w:r w:rsidR="00ED2FBD">
        <w:t xml:space="preserve">a </w:t>
      </w:r>
      <w:r w:rsidRPr="00AD2E9F">
        <w:t xml:space="preserve">detailed, written SAE report as soon as possible. Follow up information may be required and asked for by the independent safety monitoring body </w:t>
      </w:r>
      <w:r>
        <w:t xml:space="preserve">directly, or </w:t>
      </w:r>
      <w:r w:rsidRPr="00AD2E9F">
        <w:t>through the NIA or its representative. A sample of the SAE reporting form used for NIH Intramural Programs is show</w:t>
      </w:r>
      <w:r w:rsidRPr="00C13132">
        <w:t xml:space="preserve">n in </w:t>
      </w:r>
      <w:r w:rsidR="00C13132" w:rsidRPr="00C13132">
        <w:rPr>
          <w:color w:val="0000FF"/>
          <w:u w:val="single"/>
        </w:rPr>
        <w:fldChar w:fldCharType="begin"/>
      </w:r>
      <w:r w:rsidR="009F00E4">
        <w:rPr>
          <w:color w:val="0000FF"/>
          <w:u w:val="single"/>
        </w:rPr>
        <w:instrText>HYPERLINK "http://www.nia.nih.gov/sites/default/files/seriousadverseeventsform_0.doc"</w:instrText>
      </w:r>
      <w:r w:rsidR="00C13132" w:rsidRPr="00C13132">
        <w:rPr>
          <w:color w:val="0000FF"/>
          <w:u w:val="single"/>
        </w:rPr>
        <w:fldChar w:fldCharType="separate"/>
      </w:r>
      <w:r w:rsidRPr="00C13132">
        <w:rPr>
          <w:rStyle w:val="Hyperlink"/>
        </w:rPr>
        <w:t>Serious Adverse Event Form.</w:t>
      </w:r>
    </w:p>
    <w:p w:rsidR="005635AF" w:rsidRPr="00AD2E9F" w:rsidRDefault="00C13132" w:rsidP="005635AF">
      <w:pPr>
        <w:tabs>
          <w:tab w:val="left" w:pos="-1440"/>
        </w:tabs>
        <w:rPr>
          <w:i/>
        </w:rPr>
      </w:pPr>
      <w:r w:rsidRPr="00C13132">
        <w:rPr>
          <w:color w:val="0000FF"/>
          <w:u w:val="single"/>
        </w:rPr>
        <w:fldChar w:fldCharType="end"/>
      </w:r>
    </w:p>
    <w:p w:rsidR="005635AF" w:rsidRPr="00801FDC" w:rsidRDefault="005635AF" w:rsidP="00801FDC">
      <w:pPr>
        <w:pStyle w:val="Heading2"/>
        <w:spacing w:before="0"/>
        <w:rPr>
          <w:rFonts w:cs="Arial"/>
          <w:color w:val="000000" w:themeColor="text1"/>
          <w:szCs w:val="24"/>
          <w:lang w:val="en-US"/>
        </w:rPr>
      </w:pPr>
      <w:r w:rsidRPr="00801FDC">
        <w:rPr>
          <w:rFonts w:cs="Arial"/>
          <w:color w:val="000000" w:themeColor="text1"/>
          <w:szCs w:val="24"/>
        </w:rPr>
        <w:t>Unanticipated Problem</w:t>
      </w:r>
      <w:r w:rsidR="00E07908" w:rsidRPr="00801FDC">
        <w:rPr>
          <w:rFonts w:cs="Arial"/>
          <w:color w:val="000000" w:themeColor="text1"/>
          <w:szCs w:val="24"/>
          <w:lang w:val="en-US"/>
        </w:rPr>
        <w:t xml:space="preserve"> Reporting</w:t>
      </w:r>
    </w:p>
    <w:p w:rsidR="005635AF" w:rsidRPr="00AD2E9F" w:rsidRDefault="005635AF" w:rsidP="005635AF">
      <w:pPr>
        <w:tabs>
          <w:tab w:val="left" w:pos="-1440"/>
        </w:tabs>
      </w:pPr>
      <w:r w:rsidRPr="00AD2E9F">
        <w:rPr>
          <w:rFonts w:eastAsia="Arial"/>
        </w:rPr>
        <w:t xml:space="preserve">Investigator institutions </w:t>
      </w:r>
      <w:r w:rsidRPr="00AD2E9F">
        <w:t>must have written procedures for ensuring prompt reporting to the IRB and NIA, and others as appropriate, of any Unanticipated Problem involving risks to study participants or others</w:t>
      </w:r>
      <w:r>
        <w:t xml:space="preserve"> </w:t>
      </w:r>
      <w:r w:rsidRPr="00AD2E9F">
        <w:t xml:space="preserve"> (45 CFR 46.103(b)(5)). The Unanticipated Problems reporting p</w:t>
      </w:r>
      <w:r>
        <w:t>rocedures</w:t>
      </w:r>
      <w:r w:rsidRPr="00AD2E9F">
        <w:t xml:space="preserve"> must </w:t>
      </w:r>
      <w:r>
        <w:t xml:space="preserve">include </w:t>
      </w:r>
      <w:r w:rsidRPr="00AD2E9F">
        <w:t xml:space="preserve">a corrective plan and measures to prevent reoccurrence. It is recommended that such events be reported within </w:t>
      </w:r>
      <w:r w:rsidRPr="00A5580B">
        <w:t>48 hours to NIA unless they are also SAEs.</w:t>
      </w:r>
    </w:p>
    <w:p w:rsidR="005635AF" w:rsidRDefault="005635AF" w:rsidP="005635AF">
      <w:pPr>
        <w:pStyle w:val="DefaultChar"/>
      </w:pPr>
    </w:p>
    <w:p w:rsidR="005635AF" w:rsidRPr="00AD2E9F" w:rsidRDefault="005635AF" w:rsidP="005635AF">
      <w:pPr>
        <w:pStyle w:val="DefaultChar"/>
      </w:pPr>
      <w:r w:rsidRPr="00AD2E9F">
        <w:t xml:space="preserve">Reports of Unanticipated Problems, as defined above, should be forwarded to OHRP using </w:t>
      </w:r>
      <w:hyperlink r:id="rId11" w:history="1">
        <w:r w:rsidRPr="00AD2E9F">
          <w:rPr>
            <w:rStyle w:val="Hyperlink"/>
            <w:color w:val="0000FF"/>
          </w:rPr>
          <w:t>ohrp@osophs.dhhs.gov</w:t>
        </w:r>
      </w:hyperlink>
      <w:r w:rsidRPr="00AD2E9F">
        <w:t>, typically within two weeks of the event.</w:t>
      </w:r>
    </w:p>
    <w:p w:rsidR="005635AF" w:rsidRPr="00AD2E9F" w:rsidRDefault="005635AF" w:rsidP="005635AF">
      <w:pPr>
        <w:pStyle w:val="DefaultChar"/>
        <w:ind w:left="720"/>
      </w:pPr>
    </w:p>
    <w:p w:rsidR="005635AF" w:rsidRPr="00AD2E9F" w:rsidRDefault="005635AF" w:rsidP="00D04AC5">
      <w:pPr>
        <w:pStyle w:val="DefaultChar"/>
        <w:spacing w:line="480" w:lineRule="auto"/>
      </w:pPr>
      <w:r w:rsidRPr="00AD2E9F">
        <w:t xml:space="preserve">The flow chart in </w:t>
      </w:r>
      <w:hyperlink r:id="rId12" w:history="1">
        <w:r w:rsidRPr="00481D72">
          <w:t xml:space="preserve"> </w:t>
        </w:r>
        <w:r w:rsidRPr="00C13132">
          <w:rPr>
            <w:rStyle w:val="Hyperlink"/>
          </w:rPr>
          <w:t>AE/SAE Process Flow</w:t>
        </w:r>
      </w:hyperlink>
      <w:r>
        <w:t xml:space="preserve"> </w:t>
      </w:r>
      <w:r w:rsidRPr="00AD2E9F">
        <w:t>provides an algorithm of the reporting process.</w:t>
      </w:r>
    </w:p>
    <w:p w:rsidR="005635AF" w:rsidRPr="00801FDC" w:rsidRDefault="005635AF" w:rsidP="00D04AC5">
      <w:pPr>
        <w:pStyle w:val="Heading1"/>
        <w:spacing w:after="120" w:line="480" w:lineRule="auto"/>
        <w:rPr>
          <w:rFonts w:eastAsia="Arial"/>
        </w:rPr>
      </w:pPr>
      <w:r w:rsidRPr="00801FDC">
        <w:t>CLASSIFYING ADVERSE EVENTS</w:t>
      </w:r>
    </w:p>
    <w:p w:rsidR="005635AF" w:rsidRPr="00AD2E9F" w:rsidRDefault="005635AF" w:rsidP="00D04AC5">
      <w:pPr>
        <w:pStyle w:val="DefaultChar"/>
        <w:spacing w:after="120"/>
      </w:pPr>
      <w:r w:rsidRPr="00AD2E9F">
        <w:t>Adequate review, assessment, and monitoring of adverse events require that they be classified as to</w:t>
      </w:r>
      <w:r w:rsidRPr="00AD2E9F">
        <w:rPr>
          <w:i/>
        </w:rPr>
        <w:t xml:space="preserve"> </w:t>
      </w:r>
      <w:r w:rsidRPr="00AD2E9F">
        <w:rPr>
          <w:b/>
          <w:i/>
        </w:rPr>
        <w:t>severity</w:t>
      </w:r>
      <w:r w:rsidRPr="00AD2E9F">
        <w:t xml:space="preserve">, </w:t>
      </w:r>
      <w:r w:rsidRPr="00AD2E9F">
        <w:rPr>
          <w:b/>
          <w:i/>
        </w:rPr>
        <w:t>expectedness</w:t>
      </w:r>
      <w:r w:rsidRPr="00AD2E9F">
        <w:t xml:space="preserve">, and potential </w:t>
      </w:r>
      <w:r w:rsidRPr="00AD2E9F">
        <w:rPr>
          <w:b/>
          <w:i/>
        </w:rPr>
        <w:t>relatedness</w:t>
      </w:r>
      <w:r w:rsidRPr="00AD2E9F">
        <w:t xml:space="preserve"> to the study intervention.</w:t>
      </w:r>
      <w:r w:rsidRPr="00AD2E9F">
        <w:rPr>
          <w:rFonts w:eastAsia="Arial"/>
        </w:rPr>
        <w:t xml:space="preserve"> Study </w:t>
      </w:r>
      <w:r w:rsidRPr="00AD2E9F">
        <w:t xml:space="preserve">protocols must include a description of how adverse events will be classified in these terms.  These classifications determine the reporting requirements.  </w:t>
      </w:r>
    </w:p>
    <w:p w:rsidR="005635AF" w:rsidRPr="003C6819" w:rsidRDefault="005635AF" w:rsidP="003C6819">
      <w:pPr>
        <w:pStyle w:val="Heading2"/>
        <w:rPr>
          <w:rFonts w:cs="Arial"/>
          <w:color w:val="000000" w:themeColor="text1"/>
          <w:szCs w:val="24"/>
        </w:rPr>
      </w:pPr>
      <w:r w:rsidRPr="003C6819">
        <w:rPr>
          <w:rFonts w:cs="Arial"/>
          <w:color w:val="000000" w:themeColor="text1"/>
          <w:szCs w:val="24"/>
        </w:rPr>
        <w:t xml:space="preserve">Severity </w:t>
      </w:r>
    </w:p>
    <w:p w:rsidR="005635AF" w:rsidRPr="00AD2E9F" w:rsidRDefault="005635AF" w:rsidP="005635AF">
      <w:pPr>
        <w:pStyle w:val="DefaultChar"/>
        <w:spacing w:after="120"/>
      </w:pPr>
      <w:r w:rsidRPr="00AD2E9F">
        <w:t xml:space="preserve">Classifications </w:t>
      </w:r>
      <w:r>
        <w:t>often</w:t>
      </w:r>
      <w:r w:rsidRPr="00AD2E9F">
        <w:t xml:space="preserve"> include the following</w:t>
      </w:r>
      <w:r>
        <w:t xml:space="preserve">: </w:t>
      </w:r>
    </w:p>
    <w:p w:rsidR="005635AF" w:rsidRPr="00AD2E9F" w:rsidRDefault="005635AF" w:rsidP="005635AF">
      <w:pPr>
        <w:numPr>
          <w:ilvl w:val="0"/>
          <w:numId w:val="4"/>
        </w:numPr>
        <w:tabs>
          <w:tab w:val="clear" w:pos="720"/>
          <w:tab w:val="num" w:pos="1080"/>
        </w:tabs>
        <w:spacing w:after="120"/>
        <w:ind w:left="1080"/>
        <w:rPr>
          <w:color w:val="000000"/>
        </w:rPr>
      </w:pPr>
      <w:r w:rsidRPr="001F695C">
        <w:rPr>
          <w:rStyle w:val="Heading3Char"/>
          <w:i/>
        </w:rPr>
        <w:t>Mild</w:t>
      </w:r>
      <w:r w:rsidRPr="00AD2E9F">
        <w:rPr>
          <w:b/>
          <w:i/>
          <w:color w:val="000000"/>
        </w:rPr>
        <w:t>:</w:t>
      </w:r>
      <w:r w:rsidRPr="00AD2E9F">
        <w:rPr>
          <w:color w:val="000000"/>
        </w:rPr>
        <w:t xml:space="preserve"> Awareness of signs or symptoms, but easily tolerated and are of minor irritant type causing no loss of time from normal activities. Symptoms do not require therapy or a medical evaluation; signs and symptoms are transient.</w:t>
      </w:r>
    </w:p>
    <w:p w:rsidR="005635AF" w:rsidRPr="00AD2E9F" w:rsidRDefault="005635AF" w:rsidP="005635AF">
      <w:pPr>
        <w:pStyle w:val="BodyTextIndent3"/>
        <w:numPr>
          <w:ilvl w:val="0"/>
          <w:numId w:val="4"/>
        </w:numPr>
        <w:tabs>
          <w:tab w:val="clear" w:pos="720"/>
          <w:tab w:val="num" w:pos="1080"/>
        </w:tabs>
        <w:spacing w:before="120"/>
        <w:ind w:left="1080"/>
        <w:rPr>
          <w:rFonts w:ascii="Arial" w:hAnsi="Arial" w:cs="Arial"/>
          <w:color w:val="000000"/>
          <w:sz w:val="24"/>
          <w:szCs w:val="24"/>
        </w:rPr>
      </w:pPr>
      <w:r w:rsidRPr="001F695C">
        <w:rPr>
          <w:rStyle w:val="Heading3Char"/>
          <w:i/>
        </w:rPr>
        <w:t>Moderate</w:t>
      </w:r>
      <w:r w:rsidRPr="00AD2E9F">
        <w:rPr>
          <w:rFonts w:ascii="Arial" w:hAnsi="Arial" w:cs="Arial"/>
          <w:b/>
          <w:i/>
          <w:color w:val="000000"/>
          <w:sz w:val="24"/>
          <w:szCs w:val="24"/>
        </w:rPr>
        <w:t>:</w:t>
      </w:r>
      <w:r w:rsidRPr="00AD2E9F">
        <w:rPr>
          <w:rFonts w:ascii="Arial" w:hAnsi="Arial" w:cs="Arial"/>
          <w:color w:val="000000"/>
          <w:sz w:val="24"/>
          <w:szCs w:val="24"/>
        </w:rPr>
        <w:t xml:space="preserve"> Events introduce a low level of inconvenience or concern to the participant and may interfere with daily activities, but are usually improved by simple therapeutic measures; moderate experiences may cause some interference with functioning</w:t>
      </w:r>
    </w:p>
    <w:p w:rsidR="005635AF" w:rsidRPr="00AD2E9F" w:rsidRDefault="005635AF" w:rsidP="005635AF">
      <w:pPr>
        <w:pStyle w:val="BodyTextIndent3"/>
        <w:numPr>
          <w:ilvl w:val="0"/>
          <w:numId w:val="4"/>
        </w:numPr>
        <w:tabs>
          <w:tab w:val="clear" w:pos="720"/>
          <w:tab w:val="num" w:pos="1080"/>
        </w:tabs>
        <w:spacing w:before="120"/>
        <w:ind w:left="1080"/>
        <w:rPr>
          <w:rFonts w:ascii="Arial" w:hAnsi="Arial" w:cs="Arial"/>
          <w:color w:val="000000"/>
          <w:sz w:val="24"/>
          <w:szCs w:val="24"/>
        </w:rPr>
      </w:pPr>
      <w:r w:rsidRPr="001F695C">
        <w:rPr>
          <w:rStyle w:val="Heading3Char"/>
          <w:i/>
        </w:rPr>
        <w:t>Severe</w:t>
      </w:r>
      <w:r w:rsidRPr="00AD2E9F">
        <w:rPr>
          <w:rFonts w:ascii="Arial" w:hAnsi="Arial" w:cs="Arial"/>
          <w:b/>
          <w:i/>
          <w:color w:val="000000"/>
          <w:sz w:val="24"/>
          <w:szCs w:val="24"/>
        </w:rPr>
        <w:t>:</w:t>
      </w:r>
      <w:r w:rsidRPr="00AD2E9F">
        <w:rPr>
          <w:rFonts w:ascii="Arial" w:hAnsi="Arial" w:cs="Arial"/>
          <w:color w:val="000000"/>
          <w:sz w:val="24"/>
          <w:szCs w:val="24"/>
        </w:rPr>
        <w:t xml:space="preserve">  Events interrupt the participant’s normal daily activities and generally require systemic drug therapy or other treatment; they are usually incapacitating</w:t>
      </w:r>
    </w:p>
    <w:p w:rsidR="005635AF" w:rsidRPr="00AD2E9F" w:rsidRDefault="005635AF" w:rsidP="005635AF">
      <w:pPr>
        <w:pStyle w:val="Default"/>
        <w:rPr>
          <w:rFonts w:ascii="Arial" w:hAnsi="Arial" w:cs="Arial"/>
          <w:b/>
          <w:i/>
        </w:rPr>
      </w:pPr>
      <w:r w:rsidRPr="00AD2E9F">
        <w:rPr>
          <w:rFonts w:ascii="Arial" w:hAnsi="Arial" w:cs="Arial"/>
        </w:rPr>
        <w:lastRenderedPageBreak/>
        <w:t xml:space="preserve">Severity is not synonymous with seriousness. A </w:t>
      </w:r>
      <w:r w:rsidRPr="00AD2E9F">
        <w:rPr>
          <w:rFonts w:ascii="Arial" w:hAnsi="Arial" w:cs="Arial"/>
          <w:b/>
          <w:i/>
        </w:rPr>
        <w:t>severe</w:t>
      </w:r>
      <w:r w:rsidRPr="00AD2E9F">
        <w:rPr>
          <w:rFonts w:ascii="Arial" w:hAnsi="Arial" w:cs="Arial"/>
        </w:rPr>
        <w:t xml:space="preserve"> rash is not likely to be an </w:t>
      </w:r>
      <w:r w:rsidRPr="00AD2E9F">
        <w:rPr>
          <w:rFonts w:ascii="Arial" w:hAnsi="Arial" w:cs="Arial"/>
          <w:b/>
          <w:i/>
        </w:rPr>
        <w:t xml:space="preserve">SAE. </w:t>
      </w:r>
      <w:r w:rsidRPr="00AD2E9F">
        <w:rPr>
          <w:rFonts w:ascii="Arial" w:hAnsi="Arial" w:cs="Arial"/>
        </w:rPr>
        <w:t xml:space="preserve">Likewise, a </w:t>
      </w:r>
      <w:r w:rsidRPr="00AD2E9F">
        <w:rPr>
          <w:rFonts w:ascii="Arial" w:hAnsi="Arial" w:cs="Arial"/>
          <w:b/>
          <w:i/>
        </w:rPr>
        <w:t xml:space="preserve">severe </w:t>
      </w:r>
      <w:r w:rsidRPr="00AD2E9F">
        <w:rPr>
          <w:rFonts w:ascii="Arial" w:hAnsi="Arial" w:cs="Arial"/>
        </w:rPr>
        <w:t xml:space="preserve">headache is not necessarily an </w:t>
      </w:r>
      <w:r w:rsidRPr="00AD2E9F">
        <w:rPr>
          <w:rFonts w:ascii="Arial" w:hAnsi="Arial" w:cs="Arial"/>
          <w:b/>
          <w:i/>
        </w:rPr>
        <w:t xml:space="preserve">SAE.  </w:t>
      </w:r>
      <w:r w:rsidRPr="00AD2E9F">
        <w:rPr>
          <w:rFonts w:ascii="Arial" w:hAnsi="Arial" w:cs="Arial"/>
        </w:rPr>
        <w:t xml:space="preserve">However, </w:t>
      </w:r>
      <w:r w:rsidRPr="00AD2E9F">
        <w:rPr>
          <w:rFonts w:ascii="Arial" w:hAnsi="Arial" w:cs="Arial"/>
          <w:b/>
          <w:i/>
        </w:rPr>
        <w:t>mild</w:t>
      </w:r>
      <w:r w:rsidRPr="00AD2E9F">
        <w:rPr>
          <w:rFonts w:ascii="Arial" w:hAnsi="Arial" w:cs="Arial"/>
        </w:rPr>
        <w:t xml:space="preserve"> chest pain may result in a day’s hospitalization and thus is an </w:t>
      </w:r>
      <w:r w:rsidRPr="00AD2E9F">
        <w:rPr>
          <w:rFonts w:ascii="Arial" w:hAnsi="Arial" w:cs="Arial"/>
          <w:b/>
          <w:i/>
        </w:rPr>
        <w:t>SAE.</w:t>
      </w:r>
    </w:p>
    <w:p w:rsidR="005635AF" w:rsidRPr="003C6819" w:rsidRDefault="005635AF" w:rsidP="003C6819">
      <w:pPr>
        <w:pStyle w:val="Heading2"/>
        <w:rPr>
          <w:rFonts w:cs="Arial"/>
          <w:szCs w:val="24"/>
        </w:rPr>
      </w:pPr>
      <w:r w:rsidRPr="003C6819">
        <w:rPr>
          <w:rFonts w:cs="Arial"/>
          <w:color w:val="000000" w:themeColor="text1"/>
          <w:szCs w:val="24"/>
        </w:rPr>
        <w:t>Expectedness</w:t>
      </w:r>
      <w:r w:rsidRPr="003C6819">
        <w:rPr>
          <w:rFonts w:cs="Arial"/>
          <w:szCs w:val="24"/>
        </w:rPr>
        <w:t xml:space="preserve"> </w:t>
      </w:r>
    </w:p>
    <w:p w:rsidR="005635AF" w:rsidRPr="00AD2E9F" w:rsidRDefault="005635AF" w:rsidP="005635AF">
      <w:pPr>
        <w:pStyle w:val="DefaultChar"/>
      </w:pPr>
      <w:r w:rsidRPr="00AD2E9F">
        <w:t>AEs must be assessed as to whether they were expected to occur or unexpected, meaning not anticipated based on current knowledge found in the protocol, investigator brochure, product insert, or label. Categories are:</w:t>
      </w:r>
    </w:p>
    <w:p w:rsidR="005635AF" w:rsidRPr="00AD2E9F" w:rsidRDefault="005635AF" w:rsidP="005635AF">
      <w:pPr>
        <w:pStyle w:val="DefaultChar"/>
      </w:pPr>
    </w:p>
    <w:p w:rsidR="005635AF" w:rsidRPr="00AD2E9F" w:rsidRDefault="005635AF" w:rsidP="005635AF">
      <w:pPr>
        <w:pStyle w:val="DefaultChar"/>
        <w:numPr>
          <w:ilvl w:val="0"/>
          <w:numId w:val="6"/>
        </w:numPr>
      </w:pPr>
      <w:r w:rsidRPr="00375DEB">
        <w:rPr>
          <w:rStyle w:val="Heading3Char"/>
          <w:i/>
        </w:rPr>
        <w:t>Unexpected</w:t>
      </w:r>
      <w:r w:rsidRPr="00AD2E9F">
        <w:rPr>
          <w:rStyle w:val="Emphasis"/>
          <w:b/>
          <w:bCs/>
        </w:rPr>
        <w:t xml:space="preserve"> - </w:t>
      </w:r>
      <w:r w:rsidRPr="00AD2E9F">
        <w:t>nature or severity of the event is not consistent with information about the condition under study or intervention in the protocol, consent form, product brochure, or investigator brochure.</w:t>
      </w:r>
    </w:p>
    <w:p w:rsidR="005635AF" w:rsidRPr="00AD2E9F" w:rsidRDefault="005635AF" w:rsidP="005635AF">
      <w:pPr>
        <w:pStyle w:val="DefaultChar"/>
        <w:ind w:left="720"/>
      </w:pPr>
    </w:p>
    <w:p w:rsidR="005635AF" w:rsidRPr="00AD2E9F" w:rsidRDefault="005635AF" w:rsidP="005635AF">
      <w:pPr>
        <w:pStyle w:val="DefaultChar"/>
        <w:numPr>
          <w:ilvl w:val="0"/>
          <w:numId w:val="6"/>
        </w:numPr>
      </w:pPr>
      <w:r w:rsidRPr="00375DEB">
        <w:rPr>
          <w:rStyle w:val="Heading3Char"/>
          <w:i/>
        </w:rPr>
        <w:t>Expected</w:t>
      </w:r>
      <w:r w:rsidRPr="00AD2E9F">
        <w:rPr>
          <w:rStyle w:val="Emphasis"/>
          <w:b/>
          <w:bCs/>
        </w:rPr>
        <w:t xml:space="preserve"> -</w:t>
      </w:r>
      <w:r w:rsidRPr="00AD2E9F">
        <w:t xml:space="preserve"> event is known to be associated with the intervention or condition under study.</w:t>
      </w:r>
      <w:r>
        <w:t xml:space="preserve">  </w:t>
      </w:r>
    </w:p>
    <w:p w:rsidR="005635AF" w:rsidRPr="003C6819" w:rsidRDefault="005635AF" w:rsidP="003C6819">
      <w:pPr>
        <w:pStyle w:val="Heading2"/>
        <w:rPr>
          <w:rFonts w:cs="Arial"/>
          <w:color w:val="000000" w:themeColor="text1"/>
          <w:szCs w:val="24"/>
        </w:rPr>
      </w:pPr>
      <w:r w:rsidRPr="003C6819">
        <w:rPr>
          <w:rFonts w:cs="Arial"/>
          <w:color w:val="000000" w:themeColor="text1"/>
          <w:szCs w:val="24"/>
        </w:rPr>
        <w:t xml:space="preserve">Relatedness  </w:t>
      </w:r>
    </w:p>
    <w:p w:rsidR="005635AF" w:rsidRPr="00AD2E9F" w:rsidRDefault="005635AF" w:rsidP="005635AF">
      <w:pPr>
        <w:pStyle w:val="DefaultChar"/>
        <w:spacing w:after="120"/>
      </w:pPr>
      <w:r w:rsidRPr="00AD2E9F">
        <w:t>The potential event relationship to the study intervention and/or participation is assessed by the site investigator. A comprehensive scale in common use to categorize an event is:</w:t>
      </w:r>
    </w:p>
    <w:p w:rsidR="005635AF" w:rsidRPr="00AD2E9F" w:rsidRDefault="005635AF" w:rsidP="005635AF">
      <w:pPr>
        <w:numPr>
          <w:ilvl w:val="0"/>
          <w:numId w:val="7"/>
        </w:numPr>
        <w:tabs>
          <w:tab w:val="num" w:pos="1800"/>
        </w:tabs>
        <w:spacing w:after="120"/>
        <w:rPr>
          <w:color w:val="000000"/>
        </w:rPr>
      </w:pPr>
      <w:r w:rsidRPr="00AD2E9F">
        <w:rPr>
          <w:i/>
          <w:color w:val="000000"/>
        </w:rPr>
        <w:t>Definitely Related</w:t>
      </w:r>
      <w:r w:rsidRPr="00AD2E9F">
        <w:rPr>
          <w:color w:val="000000"/>
        </w:rPr>
        <w:t xml:space="preserve">:  The adverse event is clearly related to the investigational agent/procedure – i.e. </w:t>
      </w:r>
      <w:r>
        <w:rPr>
          <w:color w:val="000000"/>
        </w:rPr>
        <w:t>a</w:t>
      </w:r>
      <w:r w:rsidRPr="00AD2E9F">
        <w:rPr>
          <w:color w:val="000000"/>
        </w:rPr>
        <w:t>n event that follows a reasonable temporal sequence from administration of the study intervention, follows a known or expected response pattern to the suspected intervention, that is confirmed by improvement on stopping and reappearance of the event on repeated exposure and that could not be reasonably explained by the known characteristics of the subject’s clinical state.</w:t>
      </w:r>
    </w:p>
    <w:p w:rsidR="005635AF" w:rsidRPr="00AD2E9F" w:rsidRDefault="005635AF" w:rsidP="005635AF">
      <w:pPr>
        <w:numPr>
          <w:ilvl w:val="0"/>
          <w:numId w:val="8"/>
        </w:numPr>
        <w:tabs>
          <w:tab w:val="num" w:pos="1800"/>
        </w:tabs>
        <w:spacing w:after="120"/>
        <w:rPr>
          <w:color w:val="000000"/>
        </w:rPr>
      </w:pPr>
      <w:r w:rsidRPr="00AD2E9F">
        <w:rPr>
          <w:i/>
          <w:color w:val="000000"/>
        </w:rPr>
        <w:t>Possibly Related:</w:t>
      </w:r>
      <w:r w:rsidRPr="00AD2E9F">
        <w:rPr>
          <w:color w:val="000000"/>
        </w:rPr>
        <w:t xml:space="preserve">  An adverse event that follows a reasonable temporal sequence from administration of the study intervention follows a known or expected response pattern to the suspected intervention, but that could readily have been produced by a number of other factors.</w:t>
      </w:r>
    </w:p>
    <w:p w:rsidR="005635AF" w:rsidRPr="00A679D0" w:rsidRDefault="005635AF" w:rsidP="005635AF">
      <w:pPr>
        <w:numPr>
          <w:ilvl w:val="0"/>
          <w:numId w:val="9"/>
        </w:numPr>
        <w:tabs>
          <w:tab w:val="num" w:pos="1800"/>
        </w:tabs>
        <w:spacing w:after="120"/>
        <w:rPr>
          <w:color w:val="000000"/>
        </w:rPr>
      </w:pPr>
      <w:r w:rsidRPr="00AD2E9F">
        <w:rPr>
          <w:i/>
          <w:color w:val="000000"/>
        </w:rPr>
        <w:t>Not Related:</w:t>
      </w:r>
      <w:r w:rsidRPr="00AD2E9F">
        <w:rPr>
          <w:color w:val="000000"/>
        </w:rPr>
        <w:t xml:space="preserve">  The adverse event is clearly not related to the investigational agent/procedure</w:t>
      </w:r>
      <w:r w:rsidR="000A6BD7">
        <w:rPr>
          <w:color w:val="000000"/>
        </w:rPr>
        <w:t xml:space="preserve"> </w:t>
      </w:r>
      <w:r w:rsidRPr="00AD2E9F">
        <w:rPr>
          <w:color w:val="000000"/>
        </w:rPr>
        <w:t xml:space="preserve">- i.e. another cause of the event is most plausible; and/or a clinically plausible temporal sequence is inconsistent with the onset of the event and the study intervention and/or a causal relationship is considered biologically implausible. </w:t>
      </w:r>
    </w:p>
    <w:bookmarkEnd w:id="0"/>
    <w:p w:rsidR="005635AF" w:rsidRDefault="005635AF" w:rsidP="005635AF">
      <w:pPr>
        <w:tabs>
          <w:tab w:val="num" w:pos="1800"/>
        </w:tabs>
        <w:spacing w:after="120"/>
        <w:rPr>
          <w:color w:val="000000"/>
        </w:rPr>
      </w:pPr>
    </w:p>
    <w:p w:rsidR="005635AF" w:rsidRPr="003C6819" w:rsidRDefault="003C6819" w:rsidP="005A7BD2">
      <w:pPr>
        <w:pStyle w:val="Heading1"/>
      </w:pPr>
      <w:r w:rsidRPr="003C6819">
        <w:t>SAFETY REPORTING REQUIREMENTS FOR STUDIES INVOLVING</w:t>
      </w:r>
      <w:r w:rsidRPr="003C6819">
        <w:rPr>
          <w:lang w:val="en-US"/>
        </w:rPr>
        <w:t xml:space="preserve"> </w:t>
      </w:r>
      <w:r w:rsidRPr="003C6819">
        <w:t>INVESTIGATIONAL NEW DRUGS (IND)</w:t>
      </w:r>
    </w:p>
    <w:p w:rsidR="005635AF" w:rsidRDefault="005635AF" w:rsidP="00CD25AA">
      <w:pPr>
        <w:ind w:left="360"/>
      </w:pPr>
      <w:r w:rsidRPr="00506D48">
        <w:t>The FDA amended its regulations governing IND safety reporting for human drug</w:t>
      </w:r>
      <w:r>
        <w:t xml:space="preserve"> </w:t>
      </w:r>
      <w:r w:rsidRPr="00506D48">
        <w:t>products (21 CFR 312 and 320). The following modified definitions and reporting</w:t>
      </w:r>
      <w:r>
        <w:t xml:space="preserve"> </w:t>
      </w:r>
      <w:r w:rsidRPr="00506D48">
        <w:t>requirements apply to research subject to IND applications:</w:t>
      </w:r>
      <w:r w:rsidRPr="00E32164" w:rsidDel="004B76B2">
        <w:t xml:space="preserve"> </w:t>
      </w:r>
      <w:r>
        <w:br/>
      </w:r>
    </w:p>
    <w:p w:rsidR="005635AF" w:rsidRPr="003C6819" w:rsidRDefault="005635AF" w:rsidP="00B9563D">
      <w:pPr>
        <w:pStyle w:val="Heading2"/>
      </w:pPr>
      <w:r w:rsidRPr="003C6819">
        <w:lastRenderedPageBreak/>
        <w:t>Definitions:</w:t>
      </w:r>
    </w:p>
    <w:p w:rsidR="005635AF" w:rsidRPr="009C7C17" w:rsidRDefault="005635AF" w:rsidP="00B9563D">
      <w:pPr>
        <w:pStyle w:val="Heading3"/>
      </w:pPr>
      <w:r w:rsidRPr="00B9563D">
        <w:t>Sponsor</w:t>
      </w:r>
      <w:r w:rsidRPr="009C7C17">
        <w:t>:</w:t>
      </w:r>
    </w:p>
    <w:p w:rsidR="005635AF" w:rsidRPr="00757A06" w:rsidRDefault="005635AF" w:rsidP="00CD25AA">
      <w:pPr>
        <w:spacing w:before="240"/>
        <w:ind w:left="360"/>
        <w:rPr>
          <w:b/>
        </w:rPr>
      </w:pPr>
      <w:r>
        <w:t>Sponsor means a person or institution that takes responsibility for and initiates a clinical investigation. The sponsor does not actually conduct the investigation unless the sponsor is a Sponsor-Investigator.</w:t>
      </w:r>
    </w:p>
    <w:p w:rsidR="005635AF" w:rsidRPr="009C7C17" w:rsidRDefault="005635AF" w:rsidP="00B9563D">
      <w:pPr>
        <w:pStyle w:val="Heading3"/>
      </w:pPr>
      <w:r w:rsidRPr="009C7C17">
        <w:t>Sponsor-Investigator:</w:t>
      </w:r>
    </w:p>
    <w:p w:rsidR="005635AF" w:rsidRPr="00757A06" w:rsidRDefault="005635AF" w:rsidP="00CD25AA">
      <w:pPr>
        <w:spacing w:before="240"/>
        <w:ind w:left="360"/>
        <w:rPr>
          <w:b/>
        </w:rPr>
      </w:pPr>
      <w:r>
        <w:t>Sponsor-Investigator is an individual who both initiates and conducts an investigation and under whose immediate direction the investigational drug is administered or dispensed.  The requirements applicable to Sponsor-Investigator include both those applicable to an investigator and a sponsor.</w:t>
      </w:r>
    </w:p>
    <w:p w:rsidR="005635AF" w:rsidRPr="009C7C17" w:rsidRDefault="005635AF" w:rsidP="00B9563D">
      <w:pPr>
        <w:pStyle w:val="Heading3"/>
      </w:pPr>
      <w:r w:rsidRPr="009C7C17">
        <w:t>Adverse event:</w:t>
      </w:r>
    </w:p>
    <w:p w:rsidR="00A5580B" w:rsidRDefault="00A5580B" w:rsidP="00CD25AA">
      <w:pPr>
        <w:spacing w:before="240"/>
        <w:ind w:left="360"/>
        <w:rPr>
          <w:b/>
        </w:rPr>
      </w:pPr>
      <w:r w:rsidRPr="00AB51A7">
        <w:t>Any untoward or unfavorable medical occurrence in a human study participant, including any abnormal sign (e.g. abnormal physical exam or laboratory finding), symptom, or disease, temporally associated with the participants’ involvement in the research, whether or not considered related to participation in the research.</w:t>
      </w:r>
    </w:p>
    <w:p w:rsidR="005635AF" w:rsidRPr="009C7C17" w:rsidRDefault="005635AF" w:rsidP="00B9563D">
      <w:pPr>
        <w:pStyle w:val="Heading3"/>
      </w:pPr>
      <w:r w:rsidRPr="009C7C17">
        <w:t xml:space="preserve">Adverse reaction:  </w:t>
      </w:r>
    </w:p>
    <w:p w:rsidR="005635AF" w:rsidRDefault="005635AF" w:rsidP="00CD25AA">
      <w:pPr>
        <w:spacing w:before="240"/>
        <w:ind w:firstLine="360"/>
        <w:rPr>
          <w:b/>
        </w:rPr>
      </w:pPr>
      <w:r>
        <w:t>Any adverse event</w:t>
      </w:r>
      <w:r w:rsidRPr="007D415F">
        <w:t xml:space="preserve"> caused by the drug.</w:t>
      </w:r>
    </w:p>
    <w:p w:rsidR="005635AF" w:rsidRPr="009C7C17" w:rsidRDefault="005635AF" w:rsidP="00B9563D">
      <w:pPr>
        <w:pStyle w:val="Heading3"/>
      </w:pPr>
      <w:r w:rsidRPr="009C7C17">
        <w:t xml:space="preserve">Suspected adverse reaction: </w:t>
      </w:r>
    </w:p>
    <w:p w:rsidR="005635AF" w:rsidRDefault="005635AF" w:rsidP="00CD25AA">
      <w:pPr>
        <w:spacing w:before="240"/>
        <w:ind w:left="360"/>
      </w:pPr>
      <w:r>
        <w:t>Any</w:t>
      </w:r>
      <w:r w:rsidRPr="007D415F">
        <w:t xml:space="preserve"> adverse event for which there is a reasonable possibility that the drug caused the adverse event.  “Reasonable possibility” means there is evidence to suggest a causal relationship between the drug and the adverse event</w:t>
      </w:r>
      <w:r>
        <w:t>.</w:t>
      </w:r>
    </w:p>
    <w:p w:rsidR="005635AF" w:rsidRPr="00B9563D" w:rsidRDefault="005635AF" w:rsidP="00B9563D">
      <w:pPr>
        <w:pStyle w:val="Heading3"/>
      </w:pPr>
      <w:r w:rsidRPr="0086057A">
        <w:rPr>
          <w:i/>
        </w:rPr>
        <w:t>Serious</w:t>
      </w:r>
      <w:r w:rsidRPr="00B9563D">
        <w:t xml:space="preserve"> adverse event or </w:t>
      </w:r>
      <w:r w:rsidRPr="0086057A">
        <w:rPr>
          <w:i/>
        </w:rPr>
        <w:t>serious</w:t>
      </w:r>
      <w:r w:rsidRPr="00B9563D">
        <w:t xml:space="preserve"> suspected adverse reaction:</w:t>
      </w:r>
    </w:p>
    <w:p w:rsidR="005635AF" w:rsidRDefault="005635AF" w:rsidP="00CD25AA">
      <w:pPr>
        <w:spacing w:before="360"/>
        <w:ind w:left="360"/>
      </w:pPr>
      <w:r w:rsidRPr="007D415F">
        <w:t xml:space="preserve">An </w:t>
      </w:r>
      <w:r>
        <w:t>adverse event</w:t>
      </w:r>
      <w:r w:rsidRPr="007D415F">
        <w:t xml:space="preserve"> or </w:t>
      </w:r>
      <w:r w:rsidRPr="006D22D2">
        <w:t>suspected adverse reaction</w:t>
      </w:r>
      <w:r w:rsidRPr="007D415F">
        <w:t xml:space="preserve"> is considered “serious” </w:t>
      </w:r>
      <w:r w:rsidRPr="00B72AA0">
        <w:t>if,</w:t>
      </w:r>
      <w:r w:rsidRPr="007D415F">
        <w:t xml:space="preserve"> in the view of </w:t>
      </w:r>
      <w:r w:rsidRPr="00AB51A7">
        <w:rPr>
          <w:u w:val="single"/>
        </w:rPr>
        <w:t>either</w:t>
      </w:r>
      <w:r w:rsidRPr="007D415F">
        <w:t xml:space="preserve"> the investigator </w:t>
      </w:r>
      <w:r w:rsidRPr="00AB51A7">
        <w:rPr>
          <w:u w:val="single"/>
        </w:rPr>
        <w:t>or</w:t>
      </w:r>
      <w:r w:rsidRPr="007D415F">
        <w:t xml:space="preserve"> sponsor, it results in any of the following outcomes:</w:t>
      </w:r>
    </w:p>
    <w:p w:rsidR="00CD25AA" w:rsidRDefault="00CD25AA" w:rsidP="00CD25AA"/>
    <w:p w:rsidR="005635AF" w:rsidRPr="00CD25AA" w:rsidRDefault="005635AF" w:rsidP="00CD25AA">
      <w:pPr>
        <w:pStyle w:val="ListParagraph"/>
        <w:numPr>
          <w:ilvl w:val="0"/>
          <w:numId w:val="9"/>
        </w:numPr>
        <w:rPr>
          <w:b/>
        </w:rPr>
      </w:pPr>
      <w:r w:rsidRPr="007D415F">
        <w:t>Death</w:t>
      </w:r>
    </w:p>
    <w:p w:rsidR="005635AF" w:rsidRPr="00CD25AA" w:rsidRDefault="001C595D" w:rsidP="00CD25AA">
      <w:pPr>
        <w:pStyle w:val="ListParagraph"/>
        <w:numPr>
          <w:ilvl w:val="0"/>
          <w:numId w:val="9"/>
        </w:numPr>
        <w:rPr>
          <w:b/>
        </w:rPr>
      </w:pPr>
      <w:r>
        <w:t>A</w:t>
      </w:r>
      <w:r w:rsidR="005635AF" w:rsidRPr="007D415F">
        <w:t xml:space="preserve"> life-threatening adverse event</w:t>
      </w:r>
    </w:p>
    <w:p w:rsidR="005635AF" w:rsidRPr="00CD25AA" w:rsidRDefault="005635AF" w:rsidP="00CD25AA">
      <w:pPr>
        <w:pStyle w:val="ListParagraph"/>
        <w:numPr>
          <w:ilvl w:val="0"/>
          <w:numId w:val="9"/>
        </w:numPr>
        <w:rPr>
          <w:b/>
        </w:rPr>
      </w:pPr>
      <w:r>
        <w:t>I</w:t>
      </w:r>
      <w:r w:rsidRPr="007D415F">
        <w:t>npatient hospitalization, or prolonged of existing hospitalization</w:t>
      </w:r>
    </w:p>
    <w:p w:rsidR="005635AF" w:rsidRPr="00CD25AA" w:rsidRDefault="005635AF" w:rsidP="00CD25AA">
      <w:pPr>
        <w:pStyle w:val="ListParagraph"/>
        <w:numPr>
          <w:ilvl w:val="0"/>
          <w:numId w:val="9"/>
        </w:numPr>
        <w:rPr>
          <w:b/>
        </w:rPr>
      </w:pPr>
      <w:r>
        <w:t>A</w:t>
      </w:r>
      <w:r w:rsidRPr="007D415F">
        <w:t xml:space="preserve"> persistent or significant incapacity or substantial disruption of the ability to conduct normal life functions</w:t>
      </w:r>
    </w:p>
    <w:p w:rsidR="005635AF" w:rsidRPr="00CD25AA" w:rsidRDefault="005635AF" w:rsidP="00CD25AA">
      <w:pPr>
        <w:pStyle w:val="ListParagraph"/>
        <w:numPr>
          <w:ilvl w:val="0"/>
          <w:numId w:val="9"/>
        </w:numPr>
        <w:rPr>
          <w:b/>
        </w:rPr>
      </w:pPr>
      <w:r>
        <w:t>A</w:t>
      </w:r>
      <w:r w:rsidRPr="007D415F">
        <w:t xml:space="preserve"> congenital anomaly/birth defect</w:t>
      </w:r>
    </w:p>
    <w:p w:rsidR="005635AF" w:rsidRPr="00CD25AA" w:rsidRDefault="005635AF" w:rsidP="00CD25AA">
      <w:pPr>
        <w:pStyle w:val="ListParagraph"/>
        <w:numPr>
          <w:ilvl w:val="0"/>
          <w:numId w:val="9"/>
        </w:numPr>
        <w:rPr>
          <w:b/>
        </w:rPr>
      </w:pPr>
      <w:r w:rsidRPr="007D415F">
        <w:t>Important medical events that may not result in death, be life threatening, or require hospitalization may be considered serious, when based upon appropr</w:t>
      </w:r>
      <w:r w:rsidR="001C595D">
        <w:t>iate medical judgment, they may</w:t>
      </w:r>
      <w:r w:rsidRPr="007D415F">
        <w:t xml:space="preserve"> jeopardize the patient or subject and </w:t>
      </w:r>
      <w:r w:rsidRPr="007D415F">
        <w:lastRenderedPageBreak/>
        <w:t>may require medical or surgical intervention to prevent one of the outcomes listed in this definition.</w:t>
      </w:r>
    </w:p>
    <w:p w:rsidR="005635AF" w:rsidRPr="00B9563D" w:rsidRDefault="005635AF" w:rsidP="00B9563D">
      <w:pPr>
        <w:pStyle w:val="Heading3"/>
      </w:pPr>
      <w:r w:rsidRPr="0086057A">
        <w:rPr>
          <w:i/>
        </w:rPr>
        <w:t>Life-threatening</w:t>
      </w:r>
      <w:r w:rsidRPr="00B9563D">
        <w:t xml:space="preserve"> adverse event or </w:t>
      </w:r>
      <w:r w:rsidRPr="0086057A">
        <w:rPr>
          <w:i/>
        </w:rPr>
        <w:t>life-threatening</w:t>
      </w:r>
      <w:r w:rsidRPr="00B9563D">
        <w:t xml:space="preserve"> suspected adverse reaction: </w:t>
      </w:r>
    </w:p>
    <w:p w:rsidR="005635AF" w:rsidRDefault="005635AF" w:rsidP="00F60160">
      <w:pPr>
        <w:spacing w:before="240"/>
        <w:ind w:left="360"/>
        <w:rPr>
          <w:b/>
        </w:rPr>
      </w:pPr>
      <w:r w:rsidRPr="007D415F">
        <w:t xml:space="preserve">An adverse event or </w:t>
      </w:r>
      <w:r w:rsidRPr="006D22D2">
        <w:t>suspected adverse reaction</w:t>
      </w:r>
      <w:r w:rsidRPr="007D415F">
        <w:t xml:space="preserve"> is considered “life-threatening” </w:t>
      </w:r>
      <w:r w:rsidRPr="00B72AA0">
        <w:t>if,</w:t>
      </w:r>
      <w:r>
        <w:t xml:space="preserve"> in the view of </w:t>
      </w:r>
      <w:r w:rsidRPr="007D415F">
        <w:t xml:space="preserve">the investigator, its occurrence places the patient or subject at immediate risk of death. It does not include an </w:t>
      </w:r>
      <w:r>
        <w:t xml:space="preserve">adverse event </w:t>
      </w:r>
      <w:r w:rsidRPr="007D415F">
        <w:t xml:space="preserve">or </w:t>
      </w:r>
      <w:r w:rsidRPr="006D22D2">
        <w:t>suspected adverse reaction</w:t>
      </w:r>
      <w:r w:rsidRPr="007D415F">
        <w:t xml:space="preserve"> that, had it occurred in a more severe form, might have caused death</w:t>
      </w:r>
      <w:r>
        <w:t>.</w:t>
      </w:r>
    </w:p>
    <w:p w:rsidR="005635AF" w:rsidRPr="00B9563D" w:rsidRDefault="005635AF" w:rsidP="00B9563D">
      <w:pPr>
        <w:pStyle w:val="Heading3"/>
      </w:pPr>
      <w:r w:rsidRPr="0086057A">
        <w:rPr>
          <w:i/>
        </w:rPr>
        <w:t>Unexpected</w:t>
      </w:r>
      <w:r w:rsidRPr="00B9563D">
        <w:t xml:space="preserve"> adverse event or </w:t>
      </w:r>
      <w:r w:rsidRPr="0086057A">
        <w:rPr>
          <w:i/>
        </w:rPr>
        <w:t>unexpected</w:t>
      </w:r>
      <w:r w:rsidRPr="00B9563D">
        <w:t xml:space="preserve"> suspected adverse reaction:  </w:t>
      </w:r>
      <w:bookmarkStart w:id="5" w:name="_GoBack"/>
      <w:bookmarkEnd w:id="5"/>
    </w:p>
    <w:p w:rsidR="005635AF" w:rsidRDefault="005635AF" w:rsidP="00F60160">
      <w:pPr>
        <w:spacing w:before="240"/>
        <w:ind w:left="360"/>
      </w:pPr>
      <w:r w:rsidRPr="009F4DAC">
        <w:t xml:space="preserve">An adverse event or </w:t>
      </w:r>
      <w:r w:rsidRPr="00037C84">
        <w:t>suspected adverse reaction</w:t>
      </w:r>
      <w:r w:rsidRPr="009F4DAC">
        <w:t xml:space="preserve"> is considered “unexpected” if it is not listed in the investigator brochure (IB); is not listed at the specificity or severity that has been observed</w:t>
      </w:r>
      <w:r>
        <w:t>;</w:t>
      </w:r>
      <w:r w:rsidRPr="009F4DAC">
        <w:t xml:space="preserve"> or if IB is not required or not available, is not consistent with the risk information described in the protocol or safety monitoring plan. </w:t>
      </w:r>
    </w:p>
    <w:p w:rsidR="00CD25AA" w:rsidRPr="009F4DAC" w:rsidRDefault="00CD25AA" w:rsidP="00CD25AA">
      <w:pPr>
        <w:rPr>
          <w:b/>
        </w:rPr>
      </w:pPr>
    </w:p>
    <w:p w:rsidR="005635AF" w:rsidRDefault="005635AF" w:rsidP="00B9563D">
      <w:pPr>
        <w:pStyle w:val="Heading2"/>
      </w:pPr>
      <w:r>
        <w:t>I</w:t>
      </w:r>
      <w:r w:rsidRPr="00503D64">
        <w:t xml:space="preserve">ND </w:t>
      </w:r>
      <w:r>
        <w:t>S</w:t>
      </w:r>
      <w:r w:rsidRPr="00503D64">
        <w:t xml:space="preserve">afety </w:t>
      </w:r>
      <w:r>
        <w:t>Reporting</w:t>
      </w:r>
    </w:p>
    <w:p w:rsidR="007F70FE" w:rsidRPr="007F70FE" w:rsidRDefault="007F70FE" w:rsidP="007F70FE">
      <w:pPr>
        <w:autoSpaceDE w:val="0"/>
        <w:autoSpaceDN w:val="0"/>
        <w:adjustRightInd w:val="0"/>
        <w:rPr>
          <w:color w:val="000000"/>
        </w:rPr>
      </w:pPr>
      <w:proofErr w:type="gramStart"/>
      <w:r w:rsidRPr="007F70FE">
        <w:rPr>
          <w:color w:val="000000"/>
        </w:rPr>
        <w:t xml:space="preserve">An overview of the </w:t>
      </w:r>
      <w:r>
        <w:rPr>
          <w:color w:val="000000"/>
        </w:rPr>
        <w:t>Safety Reporting requirements are</w:t>
      </w:r>
      <w:proofErr w:type="gramEnd"/>
      <w:r>
        <w:rPr>
          <w:color w:val="000000"/>
        </w:rPr>
        <w:t xml:space="preserve"> described below and in the flow</w:t>
      </w:r>
      <w:r w:rsidRPr="007F70FE">
        <w:rPr>
          <w:color w:val="000000"/>
        </w:rPr>
        <w:t xml:space="preserve"> diagram, as shown in Figure 1</w:t>
      </w:r>
      <w:r w:rsidR="0022234D">
        <w:rPr>
          <w:color w:val="000000"/>
        </w:rPr>
        <w:t xml:space="preserve">. </w:t>
      </w:r>
    </w:p>
    <w:p w:rsidR="005635AF" w:rsidRDefault="005635AF" w:rsidP="005635AF">
      <w:pPr>
        <w:pStyle w:val="Bulletlisting"/>
        <w:numPr>
          <w:ilvl w:val="0"/>
          <w:numId w:val="0"/>
        </w:numPr>
        <w:ind w:left="630" w:hanging="90"/>
        <w:rPr>
          <w:rFonts w:ascii="Arial" w:hAnsi="Arial"/>
          <w:b/>
          <w:szCs w:val="24"/>
          <w:u w:val="single"/>
        </w:rPr>
      </w:pPr>
    </w:p>
    <w:p w:rsidR="005635AF" w:rsidRPr="00E941F6" w:rsidRDefault="007F70FE" w:rsidP="00B9563D">
      <w:pPr>
        <w:pStyle w:val="Heading3"/>
        <w:rPr>
          <w:lang w:val="en-US"/>
        </w:rPr>
      </w:pPr>
      <w:r w:rsidRPr="00E941F6">
        <w:t>F</w:t>
      </w:r>
      <w:r w:rsidR="005635AF" w:rsidRPr="00E941F6">
        <w:t>atal or life-threatening</w:t>
      </w:r>
      <w:r w:rsidR="00887142" w:rsidRPr="00E941F6">
        <w:t xml:space="preserve"> serious</w:t>
      </w:r>
      <w:r w:rsidR="005635AF" w:rsidRPr="00E941F6">
        <w:t xml:space="preserve"> </w:t>
      </w:r>
      <w:r w:rsidR="00887142" w:rsidRPr="00E941F6">
        <w:t xml:space="preserve">unexpected </w:t>
      </w:r>
      <w:r w:rsidR="005635AF" w:rsidRPr="00E941F6">
        <w:t>suspected</w:t>
      </w:r>
      <w:r w:rsidR="00281484" w:rsidRPr="00E941F6">
        <w:t xml:space="preserve"> </w:t>
      </w:r>
      <w:r w:rsidR="005635AF" w:rsidRPr="00E941F6">
        <w:t>adverse reaction</w:t>
      </w:r>
      <w:r w:rsidR="00281484" w:rsidRPr="00E941F6">
        <w:t>s (SUSARs)</w:t>
      </w:r>
      <w:r w:rsidR="005635AF" w:rsidRPr="00E941F6">
        <w:t xml:space="preserve"> reports: </w:t>
      </w:r>
    </w:p>
    <w:p w:rsidR="005635AF" w:rsidRDefault="005635AF" w:rsidP="00B90560">
      <w:pPr>
        <w:pStyle w:val="Bulletlisting"/>
        <w:numPr>
          <w:ilvl w:val="0"/>
          <w:numId w:val="0"/>
        </w:numPr>
        <w:tabs>
          <w:tab w:val="left" w:pos="360"/>
        </w:tabs>
        <w:ind w:left="360"/>
        <w:rPr>
          <w:rFonts w:ascii="Arial" w:hAnsi="Arial"/>
          <w:szCs w:val="24"/>
        </w:rPr>
      </w:pPr>
      <w:r w:rsidRPr="005D5D71">
        <w:rPr>
          <w:rFonts w:ascii="Arial" w:hAnsi="Arial"/>
          <w:bCs/>
          <w:iCs/>
          <w:color w:val="000000"/>
          <w:szCs w:val="28"/>
        </w:rPr>
        <w:t xml:space="preserve">The </w:t>
      </w:r>
      <w:r>
        <w:rPr>
          <w:rFonts w:ascii="Arial" w:hAnsi="Arial"/>
          <w:bCs/>
          <w:iCs/>
          <w:color w:val="000000"/>
          <w:szCs w:val="28"/>
        </w:rPr>
        <w:t>sponsor (or sponsor-investigator)</w:t>
      </w:r>
      <w:r w:rsidRPr="005D5D71">
        <w:rPr>
          <w:rFonts w:ascii="Arial" w:hAnsi="Arial"/>
          <w:szCs w:val="24"/>
        </w:rPr>
        <w:t xml:space="preserve"> must</w:t>
      </w:r>
      <w:r>
        <w:rPr>
          <w:rFonts w:ascii="Arial" w:hAnsi="Arial"/>
          <w:szCs w:val="24"/>
        </w:rPr>
        <w:t xml:space="preserve"> notify the FDA of any </w:t>
      </w:r>
      <w:r w:rsidR="00887142">
        <w:rPr>
          <w:rFonts w:ascii="Arial" w:hAnsi="Arial"/>
          <w:szCs w:val="24"/>
        </w:rPr>
        <w:t>SUSARs</w:t>
      </w:r>
      <w:r w:rsidR="00B90560">
        <w:rPr>
          <w:rFonts w:ascii="Arial" w:hAnsi="Arial"/>
          <w:szCs w:val="24"/>
        </w:rPr>
        <w:t xml:space="preserve"> to the study drug</w:t>
      </w:r>
      <w:r>
        <w:rPr>
          <w:rFonts w:ascii="Arial" w:hAnsi="Arial"/>
          <w:szCs w:val="24"/>
        </w:rPr>
        <w:t xml:space="preserve"> as soon as possible but </w:t>
      </w:r>
      <w:r w:rsidRPr="007D415F">
        <w:rPr>
          <w:rFonts w:ascii="Arial" w:hAnsi="Arial"/>
          <w:i/>
          <w:szCs w:val="24"/>
        </w:rPr>
        <w:t>no later than 7 calendar days</w:t>
      </w:r>
      <w:r>
        <w:rPr>
          <w:rFonts w:ascii="Arial" w:hAnsi="Arial"/>
          <w:szCs w:val="24"/>
        </w:rPr>
        <w:t xml:space="preserve"> after the initial receipt of the information.</w:t>
      </w:r>
    </w:p>
    <w:p w:rsidR="005635AF" w:rsidRDefault="005635AF" w:rsidP="005635AF">
      <w:pPr>
        <w:pStyle w:val="Heading2TimesChar"/>
        <w:numPr>
          <w:ilvl w:val="0"/>
          <w:numId w:val="0"/>
        </w:numPr>
        <w:tabs>
          <w:tab w:val="clear" w:pos="720"/>
        </w:tabs>
        <w:ind w:left="360" w:hanging="360"/>
        <w:rPr>
          <w:bCs w:val="0"/>
          <w:iCs w:val="0"/>
          <w:szCs w:val="24"/>
          <w:u w:val="single"/>
        </w:rPr>
        <w:sectPr w:rsidR="005635AF" w:rsidSect="00677D39">
          <w:footerReference w:type="default" r:id="rId13"/>
          <w:pgSz w:w="12240" w:h="15840"/>
          <w:pgMar w:top="1440" w:right="1440" w:bottom="1440" w:left="1440" w:header="720" w:footer="720" w:gutter="0"/>
          <w:cols w:space="720"/>
          <w:docGrid w:linePitch="360"/>
        </w:sectPr>
      </w:pPr>
    </w:p>
    <w:p w:rsidR="005635AF" w:rsidRPr="006864E6" w:rsidRDefault="005635AF" w:rsidP="00B9563D">
      <w:pPr>
        <w:pStyle w:val="Heading3"/>
        <w:rPr>
          <w:iCs/>
        </w:rPr>
      </w:pPr>
      <w:r w:rsidRPr="006864E6">
        <w:lastRenderedPageBreak/>
        <w:t>Other reporting requirements:</w:t>
      </w:r>
    </w:p>
    <w:p w:rsidR="005635AF" w:rsidRDefault="005635AF" w:rsidP="00CD25AA">
      <w:r w:rsidRPr="00AB51A7">
        <w:t>The sponsor (or sponsor-investigator)</w:t>
      </w:r>
      <w:r>
        <w:t xml:space="preserve"> </w:t>
      </w:r>
      <w:r w:rsidRPr="007D415F">
        <w:t xml:space="preserve">must </w:t>
      </w:r>
      <w:r>
        <w:t xml:space="preserve">also </w:t>
      </w:r>
      <w:r w:rsidRPr="007D415F">
        <w:t xml:space="preserve">notify </w:t>
      </w:r>
      <w:r>
        <w:t xml:space="preserve">the </w:t>
      </w:r>
      <w:r w:rsidRPr="007D415F">
        <w:t xml:space="preserve">FDA and all participating </w:t>
      </w:r>
      <w:r>
        <w:t xml:space="preserve">Principal Investigators (in multi-site studies) </w:t>
      </w:r>
      <w:r w:rsidRPr="007D415F">
        <w:t xml:space="preserve">in an IND safety report </w:t>
      </w:r>
      <w:r>
        <w:t>about</w:t>
      </w:r>
      <w:r w:rsidRPr="007D415F">
        <w:t xml:space="preserve"> potential serious risks, from clinical trials and any other source</w:t>
      </w:r>
      <w:r>
        <w:t>,</w:t>
      </w:r>
      <w:r w:rsidRPr="007D415F">
        <w:t xml:space="preserve"> </w:t>
      </w:r>
      <w:r w:rsidRPr="007D415F">
        <w:rPr>
          <w:i/>
        </w:rPr>
        <w:t>no later than 15 days</w:t>
      </w:r>
      <w:r w:rsidRPr="007D415F">
        <w:t xml:space="preserve"> </w:t>
      </w:r>
      <w:r>
        <w:t>in the following cases:</w:t>
      </w:r>
    </w:p>
    <w:p w:rsidR="00CD25AA" w:rsidRDefault="00CD25AA" w:rsidP="00CD25AA"/>
    <w:p w:rsidR="005635AF" w:rsidRDefault="00887142" w:rsidP="005635AF">
      <w:pPr>
        <w:pStyle w:val="Bulletlisting"/>
        <w:numPr>
          <w:ilvl w:val="0"/>
          <w:numId w:val="13"/>
        </w:numPr>
        <w:spacing w:after="120"/>
        <w:rPr>
          <w:rFonts w:ascii="Arial" w:hAnsi="Arial"/>
        </w:rPr>
      </w:pPr>
      <w:r w:rsidRPr="00375DEB">
        <w:rPr>
          <w:rStyle w:val="Heading3Char"/>
        </w:rPr>
        <w:t>SUSARs that are not fatal or life-threatening</w:t>
      </w:r>
      <w:r w:rsidRPr="00887142">
        <w:rPr>
          <w:rFonts w:ascii="Arial" w:hAnsi="Arial"/>
        </w:rPr>
        <w:t>.</w:t>
      </w:r>
      <w:r>
        <w:rPr>
          <w:rFonts w:ascii="Arial" w:hAnsi="Arial"/>
          <w:b/>
        </w:rPr>
        <w:t xml:space="preserve"> </w:t>
      </w:r>
      <w:r w:rsidR="005635AF">
        <w:rPr>
          <w:rFonts w:ascii="Arial" w:hAnsi="Arial"/>
          <w:b/>
        </w:rPr>
        <w:t xml:space="preserve"> </w:t>
      </w:r>
      <w:r w:rsidR="005635AF" w:rsidRPr="00AB51A7">
        <w:rPr>
          <w:rFonts w:ascii="Arial" w:hAnsi="Arial"/>
        </w:rPr>
        <w:t>Any</w:t>
      </w:r>
      <w:r w:rsidR="005635AF">
        <w:rPr>
          <w:rFonts w:ascii="Arial" w:hAnsi="Arial"/>
          <w:b/>
        </w:rPr>
        <w:t xml:space="preserve"> </w:t>
      </w:r>
      <w:r w:rsidR="005635AF">
        <w:rPr>
          <w:rFonts w:ascii="Arial" w:hAnsi="Arial"/>
        </w:rPr>
        <w:t xml:space="preserve">suspected adverse reaction that is </w:t>
      </w:r>
      <w:r w:rsidR="005635AF" w:rsidRPr="00C61DBF">
        <w:rPr>
          <w:rFonts w:ascii="Arial" w:hAnsi="Arial"/>
          <w:i/>
        </w:rPr>
        <w:t>both serious and unexpected</w:t>
      </w:r>
      <w:r w:rsidR="005635AF">
        <w:rPr>
          <w:rFonts w:ascii="Arial" w:hAnsi="Arial"/>
          <w:i/>
        </w:rPr>
        <w:t xml:space="preserve"> </w:t>
      </w:r>
      <w:r w:rsidR="005635AF" w:rsidRPr="00AB51A7">
        <w:rPr>
          <w:rFonts w:ascii="Arial" w:hAnsi="Arial"/>
        </w:rPr>
        <w:t>must be reported</w:t>
      </w:r>
      <w:r w:rsidR="005635AF" w:rsidRPr="002042EF">
        <w:rPr>
          <w:rFonts w:ascii="Arial" w:hAnsi="Arial"/>
        </w:rPr>
        <w:t>.</w:t>
      </w:r>
      <w:r w:rsidR="005635AF">
        <w:rPr>
          <w:rFonts w:ascii="Arial" w:hAnsi="Arial"/>
        </w:rPr>
        <w:t xml:space="preserve"> The report must proceed only if there is evidence to suggest a causal relationship between the drug and the adverse event.</w:t>
      </w:r>
      <w:r w:rsidR="005635AF" w:rsidRPr="00572DC5">
        <w:rPr>
          <w:rFonts w:ascii="Arial" w:hAnsi="Arial"/>
        </w:rPr>
        <w:t xml:space="preserve"> </w:t>
      </w:r>
    </w:p>
    <w:p w:rsidR="005635AF" w:rsidRDefault="005635AF" w:rsidP="005635AF">
      <w:pPr>
        <w:pStyle w:val="Bulletlisting"/>
        <w:numPr>
          <w:ilvl w:val="0"/>
          <w:numId w:val="13"/>
        </w:numPr>
        <w:spacing w:after="120"/>
        <w:rPr>
          <w:rFonts w:ascii="Arial" w:hAnsi="Arial"/>
        </w:rPr>
      </w:pPr>
      <w:r w:rsidRPr="00375DEB">
        <w:rPr>
          <w:rStyle w:val="Heading3Char"/>
        </w:rPr>
        <w:t>Finding from other studies</w:t>
      </w:r>
      <w:r w:rsidRPr="009C2D83">
        <w:rPr>
          <w:rFonts w:ascii="Arial" w:hAnsi="Arial"/>
        </w:rPr>
        <w:t xml:space="preserve">. </w:t>
      </w:r>
      <w:r>
        <w:rPr>
          <w:rFonts w:ascii="Arial" w:hAnsi="Arial"/>
        </w:rPr>
        <w:t>A</w:t>
      </w:r>
      <w:r w:rsidRPr="009C2D83">
        <w:rPr>
          <w:rFonts w:ascii="Arial" w:hAnsi="Arial"/>
        </w:rPr>
        <w:t>ny findings from epidemiological studies, pooled analysis of multiple studies, or clinical studies (</w:t>
      </w:r>
      <w:r>
        <w:rPr>
          <w:rFonts w:ascii="Arial" w:hAnsi="Arial"/>
        </w:rPr>
        <w:t>o</w:t>
      </w:r>
      <w:r w:rsidRPr="009C2D83">
        <w:rPr>
          <w:rFonts w:ascii="Arial" w:hAnsi="Arial"/>
        </w:rPr>
        <w:t xml:space="preserve">ther than those </w:t>
      </w:r>
      <w:r>
        <w:rPr>
          <w:rFonts w:ascii="Arial" w:hAnsi="Arial"/>
        </w:rPr>
        <w:t xml:space="preserve">reported under serious and unexpected adverse reactions above) must be reported </w:t>
      </w:r>
      <w:r w:rsidRPr="009C2D83">
        <w:rPr>
          <w:rFonts w:ascii="Arial" w:hAnsi="Arial"/>
        </w:rPr>
        <w:t xml:space="preserve">whether or not conducted under an IND or whether or not conducted by </w:t>
      </w:r>
      <w:r>
        <w:rPr>
          <w:rFonts w:ascii="Arial" w:hAnsi="Arial"/>
        </w:rPr>
        <w:t>the investigator</w:t>
      </w:r>
      <w:r w:rsidRPr="009C2D83">
        <w:rPr>
          <w:rFonts w:ascii="Arial" w:hAnsi="Arial"/>
        </w:rPr>
        <w:t>, that suggest a significant risk in humans exposed to the drug.</w:t>
      </w:r>
    </w:p>
    <w:p w:rsidR="005635AF" w:rsidRDefault="005635AF" w:rsidP="005635AF">
      <w:pPr>
        <w:pStyle w:val="Bulletlisting"/>
        <w:numPr>
          <w:ilvl w:val="0"/>
          <w:numId w:val="13"/>
        </w:numPr>
        <w:spacing w:after="120"/>
        <w:rPr>
          <w:rFonts w:ascii="Arial" w:hAnsi="Arial"/>
        </w:rPr>
      </w:pPr>
      <w:r w:rsidRPr="00375DEB">
        <w:rPr>
          <w:rStyle w:val="Heading3Char"/>
        </w:rPr>
        <w:t>Findings from animal or in vitro testing</w:t>
      </w:r>
      <w:r w:rsidRPr="009C2D83">
        <w:rPr>
          <w:rFonts w:ascii="Arial" w:hAnsi="Arial"/>
        </w:rPr>
        <w:t xml:space="preserve">. </w:t>
      </w:r>
      <w:r>
        <w:rPr>
          <w:rFonts w:ascii="Arial" w:hAnsi="Arial"/>
        </w:rPr>
        <w:t>A</w:t>
      </w:r>
      <w:r w:rsidRPr="009C2D83">
        <w:rPr>
          <w:rFonts w:ascii="Arial" w:hAnsi="Arial"/>
        </w:rPr>
        <w:t xml:space="preserve">ny finding from animal or in vitro testing whether or not conducted by </w:t>
      </w:r>
      <w:r>
        <w:rPr>
          <w:rFonts w:ascii="Arial" w:hAnsi="Arial"/>
        </w:rPr>
        <w:t xml:space="preserve">the investigator </w:t>
      </w:r>
      <w:r w:rsidRPr="009C2D83">
        <w:rPr>
          <w:rFonts w:ascii="Arial" w:hAnsi="Arial"/>
        </w:rPr>
        <w:t xml:space="preserve">that suggest a significant risk in humans exposed to the drug such as reports of mutagenicity, teratogenicity, or carcinogenesis </w:t>
      </w:r>
      <w:r>
        <w:rPr>
          <w:rFonts w:ascii="Arial" w:hAnsi="Arial"/>
        </w:rPr>
        <w:t>or reports of organ toxicity, must be reported.</w:t>
      </w:r>
    </w:p>
    <w:p w:rsidR="00887142" w:rsidRDefault="005635AF" w:rsidP="005635AF">
      <w:pPr>
        <w:pStyle w:val="Bulletlisting"/>
        <w:numPr>
          <w:ilvl w:val="0"/>
          <w:numId w:val="13"/>
        </w:numPr>
        <w:spacing w:after="120"/>
        <w:rPr>
          <w:rFonts w:ascii="Arial" w:hAnsi="Arial"/>
        </w:rPr>
      </w:pPr>
      <w:r w:rsidRPr="00375DEB">
        <w:rPr>
          <w:rStyle w:val="Heading3Char"/>
        </w:rPr>
        <w:t>Increased rate of occurrence of serious suspected adverse reactions</w:t>
      </w:r>
      <w:r w:rsidRPr="007D415F">
        <w:rPr>
          <w:rFonts w:ascii="Arial" w:hAnsi="Arial"/>
          <w:b/>
        </w:rPr>
        <w:t>.</w:t>
      </w:r>
      <w:r w:rsidRPr="007D415F">
        <w:rPr>
          <w:rFonts w:ascii="Arial" w:hAnsi="Arial"/>
        </w:rPr>
        <w:t xml:space="preserve"> </w:t>
      </w:r>
      <w:r>
        <w:rPr>
          <w:rFonts w:ascii="Arial" w:hAnsi="Arial"/>
        </w:rPr>
        <w:t>Any</w:t>
      </w:r>
      <w:r w:rsidRPr="007D415F">
        <w:rPr>
          <w:rFonts w:ascii="Arial" w:hAnsi="Arial"/>
        </w:rPr>
        <w:t xml:space="preserve"> clinically important increase in the rate of serious suspected adverse reactions over that listed in the protocol or IB</w:t>
      </w:r>
      <w:r w:rsidRPr="008F63FD">
        <w:rPr>
          <w:rFonts w:ascii="Arial" w:hAnsi="Arial"/>
        </w:rPr>
        <w:t xml:space="preserve"> </w:t>
      </w:r>
      <w:r w:rsidRPr="007D415F">
        <w:rPr>
          <w:rFonts w:ascii="Arial" w:hAnsi="Arial"/>
        </w:rPr>
        <w:t xml:space="preserve">must </w:t>
      </w:r>
      <w:r>
        <w:rPr>
          <w:rFonts w:ascii="Arial" w:hAnsi="Arial"/>
        </w:rPr>
        <w:t xml:space="preserve">also be </w:t>
      </w:r>
      <w:r w:rsidRPr="007D415F">
        <w:rPr>
          <w:rFonts w:ascii="Arial" w:hAnsi="Arial"/>
        </w:rPr>
        <w:t>report</w:t>
      </w:r>
      <w:r>
        <w:rPr>
          <w:rFonts w:ascii="Arial" w:hAnsi="Arial"/>
        </w:rPr>
        <w:t>ed</w:t>
      </w:r>
      <w:r w:rsidRPr="007D415F">
        <w:rPr>
          <w:rFonts w:ascii="Arial" w:hAnsi="Arial"/>
        </w:rPr>
        <w:t>.</w:t>
      </w:r>
      <w:r w:rsidR="00887142">
        <w:rPr>
          <w:rFonts w:ascii="Arial" w:hAnsi="Arial"/>
        </w:rPr>
        <w:t xml:space="preserve"> </w:t>
      </w:r>
    </w:p>
    <w:p w:rsidR="00BB364B" w:rsidRDefault="00887142" w:rsidP="00BB364B">
      <w:pPr>
        <w:pStyle w:val="Bulletlisting"/>
        <w:numPr>
          <w:ilvl w:val="0"/>
          <w:numId w:val="13"/>
        </w:numPr>
        <w:rPr>
          <w:rFonts w:ascii="Arial" w:hAnsi="Arial"/>
        </w:rPr>
      </w:pPr>
      <w:r w:rsidRPr="00375DEB">
        <w:rPr>
          <w:rStyle w:val="Heading3Char"/>
        </w:rPr>
        <w:t>SUSARs that are part of study endpoints</w:t>
      </w:r>
      <w:r w:rsidRPr="00887142">
        <w:rPr>
          <w:rFonts w:ascii="Arial" w:hAnsi="Arial"/>
          <w:b/>
        </w:rPr>
        <w:t>.</w:t>
      </w:r>
      <w:r>
        <w:rPr>
          <w:rFonts w:ascii="Arial" w:hAnsi="Arial"/>
        </w:rPr>
        <w:t xml:space="preserve"> Study endpoints (e.g. mortality or major morbidity) must be reported to the FDA as described in the protocol and ordinarily </w:t>
      </w:r>
      <w:r w:rsidRPr="00AB51A7">
        <w:rPr>
          <w:rFonts w:ascii="Arial" w:hAnsi="Arial"/>
          <w:u w:val="single"/>
        </w:rPr>
        <w:t xml:space="preserve">would not be reported </w:t>
      </w:r>
      <w:r w:rsidRPr="00AB51A7">
        <w:rPr>
          <w:rFonts w:ascii="Arial" w:hAnsi="Arial"/>
        </w:rPr>
        <w:t>as IND safety reports</w:t>
      </w:r>
      <w:r>
        <w:rPr>
          <w:rFonts w:ascii="Arial" w:hAnsi="Arial"/>
        </w:rPr>
        <w:t xml:space="preserve">. </w:t>
      </w:r>
      <w:r w:rsidRPr="007D415F">
        <w:rPr>
          <w:rFonts w:ascii="Arial" w:hAnsi="Arial"/>
        </w:rPr>
        <w:t xml:space="preserve">However, if a serious and unexpected adverse event occurs for which there is evidence suggesting a causal relationship between the drug and the event (e.g., death from anaphylaxis), the event must be reported under </w:t>
      </w:r>
      <w:r>
        <w:rPr>
          <w:rFonts w:ascii="Arial" w:hAnsi="Arial"/>
        </w:rPr>
        <w:t xml:space="preserve">21 CFR 312.32 </w:t>
      </w:r>
      <w:r w:rsidRPr="007D415F">
        <w:rPr>
          <w:rFonts w:ascii="Arial" w:hAnsi="Arial"/>
        </w:rPr>
        <w:t>as a serious and unexpected suspected adverse reaction even if it is a component of the study endpoint (e.g., all-cause mortality).</w:t>
      </w:r>
    </w:p>
    <w:p w:rsidR="00F60160" w:rsidRDefault="00BB364B" w:rsidP="00BB364B">
      <w:pPr>
        <w:pStyle w:val="Bulletlisting"/>
        <w:numPr>
          <w:ilvl w:val="0"/>
          <w:numId w:val="0"/>
        </w:numPr>
        <w:ind w:left="1800"/>
        <w:rPr>
          <w:rFonts w:ascii="Arial" w:hAnsi="Arial"/>
        </w:rPr>
      </w:pPr>
      <w:r>
        <w:rPr>
          <w:rFonts w:ascii="Arial" w:hAnsi="Arial"/>
        </w:rPr>
        <w:t xml:space="preserve"> </w:t>
      </w:r>
    </w:p>
    <w:p w:rsidR="005635AF" w:rsidRDefault="00B90560" w:rsidP="00BB364B">
      <w:pPr>
        <w:pStyle w:val="Bulletlisting"/>
        <w:numPr>
          <w:ilvl w:val="0"/>
          <w:numId w:val="0"/>
        </w:numPr>
        <w:spacing w:before="1680" w:after="120"/>
        <w:ind w:left="1080" w:hanging="360"/>
        <w:rPr>
          <w:rFonts w:ascii="Arial" w:hAnsi="Arial"/>
        </w:rPr>
      </w:pPr>
      <w:r w:rsidRPr="00B90560">
        <w:rPr>
          <w:rFonts w:ascii="Arial" w:hAnsi="Arial"/>
        </w:rPr>
        <w:lastRenderedPageBreak/>
        <w:t>Note: The most frequent and most serious adverse</w:t>
      </w:r>
      <w:r>
        <w:rPr>
          <w:rFonts w:ascii="Arial" w:hAnsi="Arial"/>
        </w:rPr>
        <w:t xml:space="preserve"> experiences that are not serious unexpected suspected adverse reactions to the study drug</w:t>
      </w:r>
      <w:r w:rsidRPr="00B90560">
        <w:rPr>
          <w:rFonts w:ascii="Arial" w:hAnsi="Arial"/>
        </w:rPr>
        <w:t xml:space="preserve"> have to be summarized and reported to the FDA in the annual IND report</w:t>
      </w:r>
      <w:r>
        <w:rPr>
          <w:rFonts w:ascii="Arial" w:hAnsi="Arial"/>
        </w:rPr>
        <w:t xml:space="preserve">. </w:t>
      </w:r>
    </w:p>
    <w:p w:rsidR="00B90560" w:rsidRDefault="00B90560" w:rsidP="003146EA">
      <w:pPr>
        <w:pStyle w:val="Bulletlisting"/>
        <w:numPr>
          <w:ilvl w:val="0"/>
          <w:numId w:val="0"/>
        </w:numPr>
        <w:spacing w:after="120"/>
        <w:rPr>
          <w:rFonts w:ascii="Arial" w:hAnsi="Arial"/>
          <w:b/>
        </w:rPr>
      </w:pPr>
    </w:p>
    <w:p w:rsidR="00B90560" w:rsidRPr="00BC3061" w:rsidRDefault="007F70FE" w:rsidP="00BC3061">
      <w:pPr>
        <w:rPr>
          <w:b/>
        </w:rPr>
      </w:pPr>
      <w:r w:rsidRPr="00BC3061">
        <w:rPr>
          <w:b/>
        </w:rPr>
        <w:t xml:space="preserve">Figure 1: </w:t>
      </w:r>
      <w:r w:rsidR="00B90560" w:rsidRPr="00BC3061">
        <w:rPr>
          <w:b/>
        </w:rPr>
        <w:t xml:space="preserve">FDA IND Expedited Safety Reporting Requirements for Individual Case Safety Reports </w:t>
      </w:r>
      <w:r w:rsidRPr="00BC3061">
        <w:rPr>
          <w:b/>
        </w:rPr>
        <w:t>Flow</w:t>
      </w:r>
    </w:p>
    <w:p w:rsidR="005635AF" w:rsidRDefault="00690552" w:rsidP="00BB364B">
      <w:pPr>
        <w:pStyle w:val="Bulletlisting"/>
        <w:numPr>
          <w:ilvl w:val="0"/>
          <w:numId w:val="0"/>
        </w:numPr>
        <w:spacing w:after="120"/>
        <w:ind w:left="360"/>
        <w:rPr>
          <w:rFonts w:ascii="Arial" w:hAnsi="Arial"/>
        </w:rPr>
      </w:pPr>
      <w:r>
        <w:rPr>
          <w:rFonts w:cs="Times New Roman"/>
          <w:noProof/>
          <w:szCs w:val="24"/>
          <w:lang w:eastAsia="zh-CN"/>
        </w:rPr>
        <w:drawing>
          <wp:inline distT="0" distB="0" distL="0" distR="0" wp14:anchorId="7DAE6D15" wp14:editId="279BA9DA">
            <wp:extent cx="3181350" cy="5114925"/>
            <wp:effectExtent l="0" t="0" r="0" b="9525"/>
            <wp:docPr id="1" name="Picture 1" descr="&quot;Adverse event occurs at study site&quot; leads to the question &quot;Serious event&quot;. If &quot;No&quot;, maintain adverse event in clinical study database. If &quot;Yes&quot;, leads to the question &quot;Positive causality&quot;. If &quot;No&quot;, maintain adverse event in SAE/safety database. If &quot;Yes&quot;, leads to the question &quot;Unexpected&quot;. If &quot;No&quot;, maintain adverse event in SAE/safety database.  If &quot;Yes&quot;, leads to the question &quot;Fatal or life-threatening&quot;. If &quot;No&quot;, a 15-day expedited report is required. If &quot;Yes&quot;, a 7-day expedited report is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FDA reporting revised b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1350" cy="5114925"/>
                    </a:xfrm>
                    <a:prstGeom prst="rect">
                      <a:avLst/>
                    </a:prstGeom>
                    <a:noFill/>
                    <a:ln>
                      <a:noFill/>
                    </a:ln>
                  </pic:spPr>
                </pic:pic>
              </a:graphicData>
            </a:graphic>
          </wp:inline>
        </w:drawing>
      </w:r>
    </w:p>
    <w:p w:rsidR="005635AF" w:rsidRPr="00E941F6" w:rsidRDefault="005635AF" w:rsidP="00E941F6">
      <w:pPr>
        <w:pStyle w:val="Heading2"/>
        <w:spacing w:before="840" w:after="240"/>
        <w:rPr>
          <w:rFonts w:cs="Arial"/>
          <w:color w:val="000000" w:themeColor="text1"/>
          <w:szCs w:val="24"/>
        </w:rPr>
      </w:pPr>
      <w:r w:rsidRPr="00E941F6">
        <w:rPr>
          <w:rFonts w:cs="Arial"/>
          <w:color w:val="000000" w:themeColor="text1"/>
          <w:szCs w:val="24"/>
        </w:rPr>
        <w:t>Investigator Reports:</w:t>
      </w:r>
    </w:p>
    <w:p w:rsidR="005635AF" w:rsidRDefault="005635AF" w:rsidP="00B90560">
      <w:pPr>
        <w:pStyle w:val="Bulletlisting"/>
        <w:numPr>
          <w:ilvl w:val="0"/>
          <w:numId w:val="0"/>
        </w:numPr>
        <w:ind w:left="360"/>
        <w:rPr>
          <w:rFonts w:ascii="Arial" w:hAnsi="Arial"/>
        </w:rPr>
      </w:pPr>
      <w:r w:rsidRPr="007D415F">
        <w:rPr>
          <w:rFonts w:ascii="Arial" w:hAnsi="Arial"/>
        </w:rPr>
        <w:t xml:space="preserve">An investigator </w:t>
      </w:r>
      <w:r>
        <w:rPr>
          <w:rFonts w:ascii="Arial" w:hAnsi="Arial"/>
        </w:rPr>
        <w:t xml:space="preserve">(if he/she is not a sponsor-investigator) </w:t>
      </w:r>
      <w:r w:rsidRPr="007D415F">
        <w:rPr>
          <w:rFonts w:ascii="Arial" w:hAnsi="Arial"/>
        </w:rPr>
        <w:t xml:space="preserve">must report to the </w:t>
      </w:r>
      <w:r w:rsidRPr="00D76542">
        <w:rPr>
          <w:rFonts w:ascii="Arial" w:hAnsi="Arial"/>
        </w:rPr>
        <w:t xml:space="preserve">sponsor </w:t>
      </w:r>
      <w:r w:rsidRPr="007D415F">
        <w:rPr>
          <w:rFonts w:ascii="Arial" w:hAnsi="Arial"/>
        </w:rPr>
        <w:t xml:space="preserve">any </w:t>
      </w:r>
      <w:r w:rsidRPr="00035794">
        <w:rPr>
          <w:rFonts w:ascii="Arial" w:hAnsi="Arial"/>
          <w:i/>
        </w:rPr>
        <w:t>serious</w:t>
      </w:r>
      <w:r w:rsidRPr="007D415F">
        <w:rPr>
          <w:rFonts w:ascii="Arial" w:hAnsi="Arial"/>
        </w:rPr>
        <w:t xml:space="preserve"> adverse event</w:t>
      </w:r>
      <w:r>
        <w:rPr>
          <w:rFonts w:ascii="Arial" w:hAnsi="Arial"/>
        </w:rPr>
        <w:t xml:space="preserve"> within 24 hours of investigator learning about the event</w:t>
      </w:r>
      <w:r w:rsidRPr="007D415F">
        <w:rPr>
          <w:rFonts w:ascii="Arial" w:hAnsi="Arial"/>
        </w:rPr>
        <w:t xml:space="preserve">, </w:t>
      </w:r>
      <w:r w:rsidRPr="00AB51A7">
        <w:rPr>
          <w:rFonts w:ascii="Arial" w:hAnsi="Arial"/>
          <w:u w:val="single"/>
        </w:rPr>
        <w:t>whether or not considered drug related</w:t>
      </w:r>
      <w:r w:rsidRPr="007D415F">
        <w:rPr>
          <w:rFonts w:ascii="Arial" w:hAnsi="Arial"/>
        </w:rPr>
        <w:t xml:space="preserve">, including those listed in the protocol or </w:t>
      </w:r>
      <w:proofErr w:type="gramStart"/>
      <w:r w:rsidRPr="007D415F">
        <w:rPr>
          <w:rFonts w:ascii="Arial" w:hAnsi="Arial"/>
        </w:rPr>
        <w:t>investigator</w:t>
      </w:r>
      <w:proofErr w:type="gramEnd"/>
      <w:r w:rsidRPr="007D415F">
        <w:rPr>
          <w:rFonts w:ascii="Arial" w:hAnsi="Arial"/>
        </w:rPr>
        <w:t xml:space="preserve"> brochure and must include an assessment of whether there is a reasonable possibility that the drug caused the event. </w:t>
      </w:r>
    </w:p>
    <w:p w:rsidR="005635AF" w:rsidRDefault="005635AF" w:rsidP="00B90560">
      <w:pPr>
        <w:pStyle w:val="Bulletlisting"/>
        <w:numPr>
          <w:ilvl w:val="0"/>
          <w:numId w:val="0"/>
        </w:numPr>
        <w:ind w:left="360"/>
        <w:rPr>
          <w:rFonts w:ascii="Arial" w:hAnsi="Arial"/>
        </w:rPr>
      </w:pPr>
    </w:p>
    <w:p w:rsidR="005635AF" w:rsidRDefault="005635AF" w:rsidP="00B90560">
      <w:pPr>
        <w:pStyle w:val="Bulletlisting"/>
        <w:numPr>
          <w:ilvl w:val="0"/>
          <w:numId w:val="0"/>
        </w:numPr>
        <w:ind w:left="360"/>
        <w:rPr>
          <w:rFonts w:ascii="Arial" w:hAnsi="Arial"/>
        </w:rPr>
      </w:pPr>
      <w:r w:rsidRPr="007D415F">
        <w:rPr>
          <w:rFonts w:ascii="Arial" w:hAnsi="Arial"/>
        </w:rPr>
        <w:t xml:space="preserve">The investigator must </w:t>
      </w:r>
      <w:r>
        <w:rPr>
          <w:rFonts w:ascii="Arial" w:hAnsi="Arial"/>
        </w:rPr>
        <w:t xml:space="preserve">also </w:t>
      </w:r>
      <w:r w:rsidRPr="007D415F">
        <w:rPr>
          <w:rFonts w:ascii="Arial" w:hAnsi="Arial"/>
        </w:rPr>
        <w:t xml:space="preserve">record </w:t>
      </w:r>
      <w:proofErr w:type="spellStart"/>
      <w:r w:rsidRPr="00035794">
        <w:rPr>
          <w:rFonts w:ascii="Arial" w:hAnsi="Arial"/>
          <w:i/>
        </w:rPr>
        <w:t>nonserious</w:t>
      </w:r>
      <w:proofErr w:type="spellEnd"/>
      <w:r w:rsidRPr="007D415F">
        <w:rPr>
          <w:rFonts w:ascii="Arial" w:hAnsi="Arial"/>
        </w:rPr>
        <w:t xml:space="preserve"> adverse events and report them to the </w:t>
      </w:r>
      <w:r w:rsidRPr="00AB51A7">
        <w:rPr>
          <w:rFonts w:ascii="Arial" w:hAnsi="Arial"/>
        </w:rPr>
        <w:t xml:space="preserve">sponsor </w:t>
      </w:r>
      <w:r w:rsidRPr="007D415F">
        <w:rPr>
          <w:rFonts w:ascii="Arial" w:hAnsi="Arial"/>
        </w:rPr>
        <w:t>according to the timetable for reporting specified in the protocol.</w:t>
      </w:r>
    </w:p>
    <w:p w:rsidR="005635AF" w:rsidRDefault="005635AF" w:rsidP="00B90560">
      <w:pPr>
        <w:pStyle w:val="Bulletlisting"/>
        <w:numPr>
          <w:ilvl w:val="0"/>
          <w:numId w:val="0"/>
        </w:numPr>
        <w:ind w:left="360"/>
        <w:rPr>
          <w:rFonts w:ascii="Arial" w:hAnsi="Arial"/>
          <w:szCs w:val="24"/>
        </w:rPr>
      </w:pPr>
    </w:p>
    <w:p w:rsidR="005635AF" w:rsidRDefault="005635AF" w:rsidP="005635AF">
      <w:pPr>
        <w:pStyle w:val="Bulletlisting"/>
        <w:numPr>
          <w:ilvl w:val="0"/>
          <w:numId w:val="0"/>
        </w:numPr>
        <w:rPr>
          <w:rFonts w:ascii="Arial" w:hAnsi="Arial"/>
          <w:szCs w:val="24"/>
        </w:rPr>
      </w:pPr>
    </w:p>
    <w:p w:rsidR="005635AF" w:rsidRPr="00E941F6" w:rsidRDefault="005635AF" w:rsidP="005A7BD2">
      <w:pPr>
        <w:pStyle w:val="Heading1"/>
      </w:pPr>
      <w:r w:rsidRPr="00E941F6">
        <w:t>References</w:t>
      </w:r>
    </w:p>
    <w:p w:rsidR="005635AF" w:rsidRDefault="005635AF" w:rsidP="005635AF">
      <w:pPr>
        <w:spacing w:before="60" w:after="60" w:line="210" w:lineRule="atLeast"/>
        <w:rPr>
          <w:color w:val="000000"/>
        </w:rPr>
      </w:pPr>
      <w:r w:rsidRPr="00AD2E9F">
        <w:rPr>
          <w:bCs/>
          <w:color w:val="000000"/>
        </w:rPr>
        <w:t xml:space="preserve">January 2007 OHRP </w:t>
      </w:r>
      <w:r w:rsidRPr="00AD2E9F">
        <w:rPr>
          <w:color w:val="000000"/>
        </w:rPr>
        <w:t>Guidance</w:t>
      </w:r>
      <w:r w:rsidRPr="00AD2E9F">
        <w:rPr>
          <w:i/>
          <w:color w:val="000000"/>
        </w:rPr>
        <w:t xml:space="preserve"> on Reviewing and Reporting Unanticipated Problems Involving Risks to Subjects or Others and Adverse Events,</w:t>
      </w:r>
      <w:r w:rsidRPr="00AD2E9F">
        <w:rPr>
          <w:color w:val="000000"/>
        </w:rPr>
        <w:t xml:space="preserve"> </w:t>
      </w:r>
      <w:hyperlink r:id="rId15" w:tooltip="HHS Guidance on Reviewing and Reporting Unanticipated Problems Involving Risks to Subjects or Others and Adverse Events" w:history="1">
        <w:r w:rsidRPr="003E0B29">
          <w:rPr>
            <w:rStyle w:val="Hyperlink"/>
          </w:rPr>
          <w:t>http://www.hhs.gov/ohrp/policy/advevntguid.html</w:t>
        </w:r>
      </w:hyperlink>
    </w:p>
    <w:p w:rsidR="005635AF" w:rsidRDefault="005635AF" w:rsidP="005635AF">
      <w:pPr>
        <w:spacing w:before="60" w:after="60" w:line="210" w:lineRule="atLeast"/>
        <w:rPr>
          <w:color w:val="000000"/>
        </w:rPr>
      </w:pPr>
    </w:p>
    <w:p w:rsidR="005635AF" w:rsidRPr="00AD2E9F" w:rsidRDefault="005635AF" w:rsidP="005635AF">
      <w:pPr>
        <w:spacing w:before="60" w:after="60" w:line="210" w:lineRule="atLeast"/>
        <w:rPr>
          <w:color w:val="000080"/>
        </w:rPr>
      </w:pPr>
      <w:r w:rsidRPr="00AD2E9F">
        <w:rPr>
          <w:color w:val="000000"/>
        </w:rPr>
        <w:t xml:space="preserve">21 CFR 312.50, General Responsibilities of the Sponsor, </w:t>
      </w:r>
      <w:hyperlink r:id="rId16" w:tooltip="FDA - CFR - Code of Federal Regulations Title 21 - Sec. 312.50 General responsibilities of sponsors" w:history="1">
        <w:r w:rsidRPr="00AD2E9F">
          <w:rPr>
            <w:rStyle w:val="Hyperlink"/>
          </w:rPr>
          <w:t>http://www.accessdata.fda.gov/scripts/cdrh/cfdocs/cfcfr/CFRSearch.cfm?fr=312.50</w:t>
        </w:r>
      </w:hyperlink>
    </w:p>
    <w:p w:rsidR="005635AF" w:rsidRPr="00AD2E9F" w:rsidRDefault="005635AF" w:rsidP="005635AF">
      <w:pPr>
        <w:spacing w:before="60" w:after="60" w:line="210" w:lineRule="atLeast"/>
        <w:rPr>
          <w:color w:val="000000"/>
        </w:rPr>
      </w:pPr>
    </w:p>
    <w:p w:rsidR="005635AF" w:rsidRDefault="005635AF" w:rsidP="005635AF">
      <w:pPr>
        <w:spacing w:before="60" w:after="60" w:line="210" w:lineRule="atLeast"/>
      </w:pPr>
      <w:r w:rsidRPr="00AB51A7">
        <w:rPr>
          <w:color w:val="000000"/>
        </w:rPr>
        <w:t>21 CFR 312.32, IND Safety Reports</w:t>
      </w:r>
      <w:r w:rsidRPr="00AD2E9F">
        <w:rPr>
          <w:color w:val="000000"/>
        </w:rPr>
        <w:t xml:space="preserve">, </w:t>
      </w:r>
    </w:p>
    <w:p w:rsidR="005635AF" w:rsidRPr="00AD2E9F" w:rsidRDefault="0086057A" w:rsidP="005635AF">
      <w:pPr>
        <w:spacing w:before="60" w:after="60" w:line="210" w:lineRule="atLeast"/>
        <w:rPr>
          <w:color w:val="000080"/>
        </w:rPr>
      </w:pPr>
      <w:hyperlink r:id="rId17" w:tooltip="FDA - CFR - Code of Federal Regulations Title 21 - Sec. 312.32 IND safety reporting" w:history="1">
        <w:r w:rsidR="005635AF" w:rsidRPr="002923B3">
          <w:rPr>
            <w:rStyle w:val="Hyperlink"/>
          </w:rPr>
          <w:t>http://www.accessdata.fda.gov/scripts/cdrh/cfdocs/cfcfr/CFRSearch.cfm?fr=312.32</w:t>
        </w:r>
      </w:hyperlink>
    </w:p>
    <w:p w:rsidR="005635AF" w:rsidRPr="00AD2E9F" w:rsidRDefault="005635AF" w:rsidP="005635AF">
      <w:pPr>
        <w:spacing w:before="60" w:after="60" w:line="210" w:lineRule="atLeast"/>
        <w:rPr>
          <w:color w:val="000000"/>
        </w:rPr>
      </w:pPr>
    </w:p>
    <w:p w:rsidR="005635AF" w:rsidRDefault="005635AF" w:rsidP="005635AF">
      <w:pPr>
        <w:spacing w:before="60" w:after="60" w:line="210" w:lineRule="atLeast"/>
        <w:rPr>
          <w:color w:val="000080"/>
        </w:rPr>
      </w:pPr>
      <w:r w:rsidRPr="00AD2E9F">
        <w:rPr>
          <w:color w:val="000000"/>
        </w:rPr>
        <w:t xml:space="preserve">ICH E6 5.0 Sponsor, Good Clinical Practices, </w:t>
      </w:r>
      <w:hyperlink r:id="rId18" w:tooltip="ICH Guideline For Good Clinical Practice" w:history="1">
        <w:r w:rsidRPr="004A0A08">
          <w:rPr>
            <w:rStyle w:val="Hyperlink"/>
          </w:rPr>
          <w:t>http://www.ich.org/fileadmin/Public_Web_Site/ICH_Products/Guidelines/Efficacy/E6_R1/Step4/E6_R1__Guideline.pdf</w:t>
        </w:r>
      </w:hyperlink>
      <w:r w:rsidRPr="00AD2E9F">
        <w:rPr>
          <w:color w:val="000080"/>
        </w:rPr>
        <w:t xml:space="preserve"> </w:t>
      </w:r>
    </w:p>
    <w:p w:rsidR="00DB0F79" w:rsidRDefault="00DB0F79"/>
    <w:sectPr w:rsidR="00DB0F79" w:rsidSect="00677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D88" w:rsidRDefault="00A95D88">
      <w:r>
        <w:separator/>
      </w:r>
    </w:p>
  </w:endnote>
  <w:endnote w:type="continuationSeparator" w:id="0">
    <w:p w:rsidR="00A95D88" w:rsidRDefault="00A95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870" w:rsidRDefault="009B6870">
    <w:pPr>
      <w:pStyle w:val="Footer"/>
      <w:framePr w:wrap="around" w:vAnchor="text" w:hAnchor="margin" w:xAlign="center" w:y="1"/>
      <w:rPr>
        <w:rStyle w:val="PageNumber"/>
      </w:rPr>
    </w:pPr>
  </w:p>
  <w:p w:rsidR="009B6870" w:rsidRPr="00214F74" w:rsidRDefault="009B6870" w:rsidP="00677D39">
    <w:pPr>
      <w:pStyle w:val="Heading7"/>
      <w:ind w:right="360"/>
      <w:rPr>
        <w:rFonts w:ascii="Times New Roman" w:hAnsi="Times New Roman"/>
        <w:i/>
        <w:sz w:val="20"/>
        <w:szCs w:val="20"/>
      </w:rPr>
    </w:pPr>
    <w:r w:rsidRPr="00A61E5C">
      <w:rPr>
        <w:rFonts w:ascii="Times New Roman" w:hAnsi="Times New Roman"/>
        <w:i/>
        <w:sz w:val="20"/>
        <w:szCs w:val="20"/>
      </w:rPr>
      <w:t xml:space="preserve">Version </w:t>
    </w:r>
    <w:r>
      <w:rPr>
        <w:rFonts w:ascii="Times New Roman" w:hAnsi="Times New Roman"/>
        <w:i/>
        <w:sz w:val="20"/>
        <w:szCs w:val="20"/>
      </w:rPr>
      <w:t>3</w:t>
    </w:r>
    <w:r w:rsidRPr="00A61E5C">
      <w:rPr>
        <w:rFonts w:ascii="Times New Roman" w:hAnsi="Times New Roman"/>
        <w:i/>
        <w:sz w:val="20"/>
        <w:szCs w:val="20"/>
      </w:rPr>
      <w:t xml:space="preserve"> –</w:t>
    </w:r>
    <w:r w:rsidR="008071FD">
      <w:rPr>
        <w:rFonts w:ascii="Times New Roman" w:hAnsi="Times New Roman"/>
        <w:i/>
        <w:sz w:val="20"/>
        <w:szCs w:val="20"/>
        <w:lang w:val="en-US"/>
      </w:rPr>
      <w:t>December 2013</w:t>
    </w:r>
    <w:r w:rsidR="00BB364B">
      <w:rPr>
        <w:rFonts w:ascii="Times New Roman" w:hAnsi="Times New Roman"/>
        <w:i/>
        <w:sz w:val="20"/>
        <w:szCs w:val="20"/>
        <w:lang w:val="en-US"/>
      </w:rPr>
      <w:tab/>
    </w:r>
    <w:r w:rsidR="00BB364B">
      <w:rPr>
        <w:rFonts w:ascii="Times New Roman" w:hAnsi="Times New Roman"/>
        <w:i/>
        <w:sz w:val="20"/>
        <w:szCs w:val="20"/>
        <w:lang w:val="en-US"/>
      </w:rPr>
      <w:tab/>
    </w:r>
    <w:r w:rsidR="00BB364B">
      <w:rPr>
        <w:rFonts w:ascii="Times New Roman" w:hAnsi="Times New Roman"/>
        <w:i/>
        <w:sz w:val="20"/>
        <w:szCs w:val="20"/>
        <w:lang w:val="en-US"/>
      </w:rPr>
      <w:tab/>
    </w:r>
    <w:r w:rsidRPr="00A61E5C">
      <w:rPr>
        <w:rStyle w:val="PageNumber"/>
        <w:rFonts w:ascii="Times New Roman" w:hAnsi="Times New Roman"/>
        <w:snapToGrid w:val="0"/>
        <w:szCs w:val="20"/>
      </w:rPr>
      <w:fldChar w:fldCharType="begin"/>
    </w:r>
    <w:r w:rsidRPr="00A61E5C">
      <w:rPr>
        <w:rStyle w:val="PageNumber"/>
        <w:rFonts w:ascii="Times New Roman" w:hAnsi="Times New Roman"/>
        <w:snapToGrid w:val="0"/>
        <w:szCs w:val="20"/>
      </w:rPr>
      <w:instrText xml:space="preserve"> PAGE </w:instrText>
    </w:r>
    <w:r w:rsidRPr="00A61E5C">
      <w:rPr>
        <w:rStyle w:val="PageNumber"/>
        <w:rFonts w:ascii="Times New Roman" w:hAnsi="Times New Roman"/>
        <w:snapToGrid w:val="0"/>
        <w:szCs w:val="20"/>
      </w:rPr>
      <w:fldChar w:fldCharType="separate"/>
    </w:r>
    <w:r w:rsidR="0086057A">
      <w:rPr>
        <w:rStyle w:val="PageNumber"/>
        <w:rFonts w:ascii="Times New Roman" w:hAnsi="Times New Roman"/>
        <w:noProof/>
        <w:snapToGrid w:val="0"/>
        <w:szCs w:val="20"/>
      </w:rPr>
      <w:t>7</w:t>
    </w:r>
    <w:r w:rsidRPr="00A61E5C">
      <w:rPr>
        <w:rStyle w:val="PageNumber"/>
        <w:rFonts w:ascii="Times New Roman" w:hAnsi="Times New Roman"/>
        <w:snapToGrid w:val="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D88" w:rsidRDefault="00A95D88">
      <w:r>
        <w:separator/>
      </w:r>
    </w:p>
  </w:footnote>
  <w:footnote w:type="continuationSeparator" w:id="0">
    <w:p w:rsidR="00A95D88" w:rsidRDefault="00A95D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4EF"/>
    <w:multiLevelType w:val="hybridMultilevel"/>
    <w:tmpl w:val="B02E41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25B03A6"/>
    <w:multiLevelType w:val="hybridMultilevel"/>
    <w:tmpl w:val="AFEEB290"/>
    <w:lvl w:ilvl="0" w:tplc="AE84AF6C">
      <w:start w:val="1"/>
      <w:numFmt w:val="bullet"/>
      <w:pStyle w:val="Bulletlisting"/>
      <w:lvlText w:val=""/>
      <w:lvlJc w:val="left"/>
      <w:pPr>
        <w:tabs>
          <w:tab w:val="num" w:pos="1080"/>
        </w:tabs>
        <w:ind w:left="1080" w:hanging="360"/>
      </w:pPr>
      <w:rPr>
        <w:rFonts w:ascii="Symbol" w:hAnsi="Symbol" w:cs="Symbol" w:hint="default"/>
        <w:sz w:val="24"/>
        <w:szCs w:val="24"/>
      </w:rPr>
    </w:lvl>
    <w:lvl w:ilvl="1" w:tplc="04090003">
      <w:start w:val="1"/>
      <w:numFmt w:val="bullet"/>
      <w:lvlText w:val="o"/>
      <w:lvlJc w:val="left"/>
      <w:pPr>
        <w:tabs>
          <w:tab w:val="num" w:pos="3024"/>
        </w:tabs>
        <w:ind w:left="3024" w:hanging="360"/>
      </w:pPr>
      <w:rPr>
        <w:rFonts w:ascii="Courier New" w:hAnsi="Courier New" w:cs="Courier New" w:hint="default"/>
      </w:rPr>
    </w:lvl>
    <w:lvl w:ilvl="2" w:tplc="04090005">
      <w:start w:val="1"/>
      <w:numFmt w:val="bullet"/>
      <w:lvlText w:val=""/>
      <w:lvlJc w:val="left"/>
      <w:pPr>
        <w:tabs>
          <w:tab w:val="num" w:pos="3744"/>
        </w:tabs>
        <w:ind w:left="3744" w:hanging="360"/>
      </w:pPr>
      <w:rPr>
        <w:rFonts w:ascii="Wingdings" w:hAnsi="Wingdings" w:hint="default"/>
      </w:rPr>
    </w:lvl>
    <w:lvl w:ilvl="3" w:tplc="04090001">
      <w:start w:val="1"/>
      <w:numFmt w:val="bullet"/>
      <w:lvlText w:val=""/>
      <w:lvlJc w:val="left"/>
      <w:pPr>
        <w:tabs>
          <w:tab w:val="num" w:pos="4464"/>
        </w:tabs>
        <w:ind w:left="4464" w:hanging="360"/>
      </w:pPr>
      <w:rPr>
        <w:rFonts w:ascii="Symbol" w:hAnsi="Symbol" w:hint="default"/>
        <w:sz w:val="24"/>
        <w:szCs w:val="24"/>
      </w:rPr>
    </w:lvl>
    <w:lvl w:ilvl="4" w:tplc="04090003" w:tentative="1">
      <w:start w:val="1"/>
      <w:numFmt w:val="bullet"/>
      <w:lvlText w:val="o"/>
      <w:lvlJc w:val="left"/>
      <w:pPr>
        <w:tabs>
          <w:tab w:val="num" w:pos="5184"/>
        </w:tabs>
        <w:ind w:left="5184" w:hanging="360"/>
      </w:pPr>
      <w:rPr>
        <w:rFonts w:ascii="Courier New" w:hAnsi="Courier New" w:cs="Courier New" w:hint="default"/>
      </w:rPr>
    </w:lvl>
    <w:lvl w:ilvl="5" w:tplc="04090005" w:tentative="1">
      <w:start w:val="1"/>
      <w:numFmt w:val="bullet"/>
      <w:lvlText w:val=""/>
      <w:lvlJc w:val="left"/>
      <w:pPr>
        <w:tabs>
          <w:tab w:val="num" w:pos="5904"/>
        </w:tabs>
        <w:ind w:left="5904" w:hanging="360"/>
      </w:pPr>
      <w:rPr>
        <w:rFonts w:ascii="Wingdings" w:hAnsi="Wingdings" w:hint="default"/>
      </w:rPr>
    </w:lvl>
    <w:lvl w:ilvl="6" w:tplc="04090001" w:tentative="1">
      <w:start w:val="1"/>
      <w:numFmt w:val="bullet"/>
      <w:lvlText w:val=""/>
      <w:lvlJc w:val="left"/>
      <w:pPr>
        <w:tabs>
          <w:tab w:val="num" w:pos="6624"/>
        </w:tabs>
        <w:ind w:left="6624" w:hanging="360"/>
      </w:pPr>
      <w:rPr>
        <w:rFonts w:ascii="Symbol" w:hAnsi="Symbol" w:hint="default"/>
      </w:rPr>
    </w:lvl>
    <w:lvl w:ilvl="7" w:tplc="04090003" w:tentative="1">
      <w:start w:val="1"/>
      <w:numFmt w:val="bullet"/>
      <w:lvlText w:val="o"/>
      <w:lvlJc w:val="left"/>
      <w:pPr>
        <w:tabs>
          <w:tab w:val="num" w:pos="7344"/>
        </w:tabs>
        <w:ind w:left="7344" w:hanging="360"/>
      </w:pPr>
      <w:rPr>
        <w:rFonts w:ascii="Courier New" w:hAnsi="Courier New" w:cs="Courier New" w:hint="default"/>
      </w:rPr>
    </w:lvl>
    <w:lvl w:ilvl="8" w:tplc="04090005" w:tentative="1">
      <w:start w:val="1"/>
      <w:numFmt w:val="bullet"/>
      <w:lvlText w:val=""/>
      <w:lvlJc w:val="left"/>
      <w:pPr>
        <w:tabs>
          <w:tab w:val="num" w:pos="8064"/>
        </w:tabs>
        <w:ind w:left="8064" w:hanging="360"/>
      </w:pPr>
      <w:rPr>
        <w:rFonts w:ascii="Wingdings" w:hAnsi="Wingdings" w:hint="default"/>
      </w:rPr>
    </w:lvl>
  </w:abstractNum>
  <w:abstractNum w:abstractNumId="2">
    <w:nsid w:val="1E402FC9"/>
    <w:multiLevelType w:val="hybridMultilevel"/>
    <w:tmpl w:val="8C4EF30C"/>
    <w:lvl w:ilvl="0" w:tplc="AE84AF6C">
      <w:start w:val="1"/>
      <w:numFmt w:val="bullet"/>
      <w:lvlText w:val=""/>
      <w:lvlJc w:val="left"/>
      <w:pPr>
        <w:tabs>
          <w:tab w:val="num" w:pos="720"/>
        </w:tabs>
        <w:ind w:left="720" w:hanging="360"/>
      </w:pPr>
      <w:rPr>
        <w:rFonts w:ascii="Symbol" w:hAnsi="Symbol" w:cs="Symbol" w:hint="default"/>
        <w:sz w:val="24"/>
        <w:szCs w:val="24"/>
      </w:rPr>
    </w:lvl>
    <w:lvl w:ilvl="1" w:tplc="6D7C868A">
      <w:numFmt w:val="bullet"/>
      <w:lvlText w:val="-"/>
      <w:lvlJc w:val="left"/>
      <w:pPr>
        <w:tabs>
          <w:tab w:val="num" w:pos="2664"/>
        </w:tabs>
        <w:ind w:left="2664" w:hanging="360"/>
      </w:pPr>
      <w:rPr>
        <w:rFonts w:ascii="Times New Roman" w:eastAsia="Times New Roman" w:hAnsi="Times New Roman" w:cs="Times New Roman" w:hint="default"/>
        <w:sz w:val="24"/>
        <w:szCs w:val="24"/>
      </w:rPr>
    </w:lvl>
    <w:lvl w:ilvl="2" w:tplc="04090005">
      <w:start w:val="1"/>
      <w:numFmt w:val="bullet"/>
      <w:lvlText w:val=""/>
      <w:lvlJc w:val="left"/>
      <w:pPr>
        <w:tabs>
          <w:tab w:val="num" w:pos="3384"/>
        </w:tabs>
        <w:ind w:left="3384" w:hanging="360"/>
      </w:pPr>
      <w:rPr>
        <w:rFonts w:ascii="Wingdings" w:hAnsi="Wingdings" w:hint="default"/>
      </w:rPr>
    </w:lvl>
    <w:lvl w:ilvl="3" w:tplc="04090001">
      <w:start w:val="1"/>
      <w:numFmt w:val="bullet"/>
      <w:lvlText w:val=""/>
      <w:lvlJc w:val="left"/>
      <w:pPr>
        <w:tabs>
          <w:tab w:val="num" w:pos="4104"/>
        </w:tabs>
        <w:ind w:left="4104" w:hanging="360"/>
      </w:pPr>
      <w:rPr>
        <w:rFonts w:ascii="Symbol" w:hAnsi="Symbol" w:hint="default"/>
        <w:sz w:val="24"/>
        <w:szCs w:val="24"/>
      </w:rPr>
    </w:lvl>
    <w:lvl w:ilvl="4" w:tplc="04090003" w:tentative="1">
      <w:start w:val="1"/>
      <w:numFmt w:val="bullet"/>
      <w:lvlText w:val="o"/>
      <w:lvlJc w:val="left"/>
      <w:pPr>
        <w:tabs>
          <w:tab w:val="num" w:pos="4824"/>
        </w:tabs>
        <w:ind w:left="4824" w:hanging="360"/>
      </w:pPr>
      <w:rPr>
        <w:rFonts w:ascii="Courier New" w:hAnsi="Courier New" w:cs="Courier New" w:hint="default"/>
      </w:rPr>
    </w:lvl>
    <w:lvl w:ilvl="5" w:tplc="04090005" w:tentative="1">
      <w:start w:val="1"/>
      <w:numFmt w:val="bullet"/>
      <w:lvlText w:val=""/>
      <w:lvlJc w:val="left"/>
      <w:pPr>
        <w:tabs>
          <w:tab w:val="num" w:pos="5544"/>
        </w:tabs>
        <w:ind w:left="5544" w:hanging="360"/>
      </w:pPr>
      <w:rPr>
        <w:rFonts w:ascii="Wingdings" w:hAnsi="Wingdings" w:hint="default"/>
      </w:rPr>
    </w:lvl>
    <w:lvl w:ilvl="6" w:tplc="04090001" w:tentative="1">
      <w:start w:val="1"/>
      <w:numFmt w:val="bullet"/>
      <w:lvlText w:val=""/>
      <w:lvlJc w:val="left"/>
      <w:pPr>
        <w:tabs>
          <w:tab w:val="num" w:pos="6264"/>
        </w:tabs>
        <w:ind w:left="6264" w:hanging="360"/>
      </w:pPr>
      <w:rPr>
        <w:rFonts w:ascii="Symbol" w:hAnsi="Symbol" w:hint="default"/>
      </w:rPr>
    </w:lvl>
    <w:lvl w:ilvl="7" w:tplc="04090003" w:tentative="1">
      <w:start w:val="1"/>
      <w:numFmt w:val="bullet"/>
      <w:lvlText w:val="o"/>
      <w:lvlJc w:val="left"/>
      <w:pPr>
        <w:tabs>
          <w:tab w:val="num" w:pos="6984"/>
        </w:tabs>
        <w:ind w:left="6984" w:hanging="360"/>
      </w:pPr>
      <w:rPr>
        <w:rFonts w:ascii="Courier New" w:hAnsi="Courier New" w:cs="Courier New" w:hint="default"/>
      </w:rPr>
    </w:lvl>
    <w:lvl w:ilvl="8" w:tplc="04090005" w:tentative="1">
      <w:start w:val="1"/>
      <w:numFmt w:val="bullet"/>
      <w:lvlText w:val=""/>
      <w:lvlJc w:val="left"/>
      <w:pPr>
        <w:tabs>
          <w:tab w:val="num" w:pos="7704"/>
        </w:tabs>
        <w:ind w:left="7704" w:hanging="360"/>
      </w:pPr>
      <w:rPr>
        <w:rFonts w:ascii="Wingdings" w:hAnsi="Wingdings" w:hint="default"/>
      </w:rPr>
    </w:lvl>
  </w:abstractNum>
  <w:abstractNum w:abstractNumId="3">
    <w:nsid w:val="278A090E"/>
    <w:multiLevelType w:val="hybridMultilevel"/>
    <w:tmpl w:val="02446A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48803FA"/>
    <w:multiLevelType w:val="hybridMultilevel"/>
    <w:tmpl w:val="955EC2DE"/>
    <w:lvl w:ilvl="0" w:tplc="04090001">
      <w:start w:val="1"/>
      <w:numFmt w:val="bullet"/>
      <w:lvlText w:val=""/>
      <w:lvlJc w:val="left"/>
      <w:pPr>
        <w:tabs>
          <w:tab w:val="num" w:pos="1080"/>
        </w:tabs>
        <w:ind w:left="1080" w:hanging="360"/>
      </w:pPr>
      <w:rPr>
        <w:rFonts w:ascii="Symbol" w:hAnsi="Symbol" w:hint="default"/>
        <w:sz w:val="24"/>
        <w:szCs w:val="24"/>
      </w:rPr>
    </w:lvl>
    <w:lvl w:ilvl="1" w:tplc="04090003">
      <w:start w:val="1"/>
      <w:numFmt w:val="bullet"/>
      <w:lvlText w:val="o"/>
      <w:lvlJc w:val="left"/>
      <w:pPr>
        <w:tabs>
          <w:tab w:val="num" w:pos="1224"/>
        </w:tabs>
        <w:ind w:left="1224" w:hanging="360"/>
      </w:pPr>
      <w:rPr>
        <w:rFonts w:ascii="Courier New" w:hAnsi="Courier New" w:cs="Courier New" w:hint="default"/>
      </w:rPr>
    </w:lvl>
    <w:lvl w:ilvl="2" w:tplc="04090005">
      <w:start w:val="1"/>
      <w:numFmt w:val="bullet"/>
      <w:lvlText w:val=""/>
      <w:lvlJc w:val="left"/>
      <w:pPr>
        <w:tabs>
          <w:tab w:val="num" w:pos="1944"/>
        </w:tabs>
        <w:ind w:left="1944" w:hanging="360"/>
      </w:pPr>
      <w:rPr>
        <w:rFonts w:ascii="Wingdings" w:hAnsi="Wingdings" w:hint="default"/>
      </w:rPr>
    </w:lvl>
    <w:lvl w:ilvl="3" w:tplc="04090001">
      <w:start w:val="1"/>
      <w:numFmt w:val="bullet"/>
      <w:lvlText w:val=""/>
      <w:lvlJc w:val="left"/>
      <w:pPr>
        <w:tabs>
          <w:tab w:val="num" w:pos="2664"/>
        </w:tabs>
        <w:ind w:left="2664" w:hanging="360"/>
      </w:pPr>
      <w:rPr>
        <w:rFonts w:ascii="Symbol" w:hAnsi="Symbol" w:hint="default"/>
        <w:sz w:val="24"/>
        <w:szCs w:val="24"/>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5">
    <w:nsid w:val="3BF15A64"/>
    <w:multiLevelType w:val="hybridMultilevel"/>
    <w:tmpl w:val="FF366FD6"/>
    <w:lvl w:ilvl="0" w:tplc="04090001">
      <w:start w:val="1"/>
      <w:numFmt w:val="bullet"/>
      <w:lvlText w:val=""/>
      <w:lvlJc w:val="left"/>
      <w:pPr>
        <w:tabs>
          <w:tab w:val="num" w:pos="1080"/>
        </w:tabs>
        <w:ind w:left="1080" w:hanging="360"/>
      </w:pPr>
      <w:rPr>
        <w:rFonts w:ascii="Symbol" w:hAnsi="Symbol" w:hint="default"/>
        <w:sz w:val="24"/>
        <w:szCs w:val="24"/>
      </w:rPr>
    </w:lvl>
    <w:lvl w:ilvl="1" w:tplc="04090003">
      <w:start w:val="1"/>
      <w:numFmt w:val="bullet"/>
      <w:lvlText w:val="o"/>
      <w:lvlJc w:val="left"/>
      <w:pPr>
        <w:tabs>
          <w:tab w:val="num" w:pos="3024"/>
        </w:tabs>
        <w:ind w:left="3024" w:hanging="360"/>
      </w:pPr>
      <w:rPr>
        <w:rFonts w:ascii="Courier New" w:hAnsi="Courier New" w:cs="Courier New" w:hint="default"/>
      </w:rPr>
    </w:lvl>
    <w:lvl w:ilvl="2" w:tplc="04090005">
      <w:start w:val="1"/>
      <w:numFmt w:val="bullet"/>
      <w:lvlText w:val=""/>
      <w:lvlJc w:val="left"/>
      <w:pPr>
        <w:tabs>
          <w:tab w:val="num" w:pos="3744"/>
        </w:tabs>
        <w:ind w:left="3744" w:hanging="360"/>
      </w:pPr>
      <w:rPr>
        <w:rFonts w:ascii="Wingdings" w:hAnsi="Wingdings" w:hint="default"/>
      </w:rPr>
    </w:lvl>
    <w:lvl w:ilvl="3" w:tplc="04090001">
      <w:start w:val="1"/>
      <w:numFmt w:val="bullet"/>
      <w:lvlText w:val=""/>
      <w:lvlJc w:val="left"/>
      <w:pPr>
        <w:tabs>
          <w:tab w:val="num" w:pos="4464"/>
        </w:tabs>
        <w:ind w:left="4464" w:hanging="360"/>
      </w:pPr>
      <w:rPr>
        <w:rFonts w:ascii="Symbol" w:hAnsi="Symbol" w:hint="default"/>
        <w:sz w:val="24"/>
        <w:szCs w:val="24"/>
      </w:rPr>
    </w:lvl>
    <w:lvl w:ilvl="4" w:tplc="04090003" w:tentative="1">
      <w:start w:val="1"/>
      <w:numFmt w:val="bullet"/>
      <w:lvlText w:val="o"/>
      <w:lvlJc w:val="left"/>
      <w:pPr>
        <w:tabs>
          <w:tab w:val="num" w:pos="5184"/>
        </w:tabs>
        <w:ind w:left="5184" w:hanging="360"/>
      </w:pPr>
      <w:rPr>
        <w:rFonts w:ascii="Courier New" w:hAnsi="Courier New" w:cs="Courier New" w:hint="default"/>
      </w:rPr>
    </w:lvl>
    <w:lvl w:ilvl="5" w:tplc="04090005" w:tentative="1">
      <w:start w:val="1"/>
      <w:numFmt w:val="bullet"/>
      <w:lvlText w:val=""/>
      <w:lvlJc w:val="left"/>
      <w:pPr>
        <w:tabs>
          <w:tab w:val="num" w:pos="5904"/>
        </w:tabs>
        <w:ind w:left="5904" w:hanging="360"/>
      </w:pPr>
      <w:rPr>
        <w:rFonts w:ascii="Wingdings" w:hAnsi="Wingdings" w:hint="default"/>
      </w:rPr>
    </w:lvl>
    <w:lvl w:ilvl="6" w:tplc="04090001" w:tentative="1">
      <w:start w:val="1"/>
      <w:numFmt w:val="bullet"/>
      <w:lvlText w:val=""/>
      <w:lvlJc w:val="left"/>
      <w:pPr>
        <w:tabs>
          <w:tab w:val="num" w:pos="6624"/>
        </w:tabs>
        <w:ind w:left="6624" w:hanging="360"/>
      </w:pPr>
      <w:rPr>
        <w:rFonts w:ascii="Symbol" w:hAnsi="Symbol" w:hint="default"/>
      </w:rPr>
    </w:lvl>
    <w:lvl w:ilvl="7" w:tplc="04090003" w:tentative="1">
      <w:start w:val="1"/>
      <w:numFmt w:val="bullet"/>
      <w:lvlText w:val="o"/>
      <w:lvlJc w:val="left"/>
      <w:pPr>
        <w:tabs>
          <w:tab w:val="num" w:pos="7344"/>
        </w:tabs>
        <w:ind w:left="7344" w:hanging="360"/>
      </w:pPr>
      <w:rPr>
        <w:rFonts w:ascii="Courier New" w:hAnsi="Courier New" w:cs="Courier New" w:hint="default"/>
      </w:rPr>
    </w:lvl>
    <w:lvl w:ilvl="8" w:tplc="04090005" w:tentative="1">
      <w:start w:val="1"/>
      <w:numFmt w:val="bullet"/>
      <w:lvlText w:val=""/>
      <w:lvlJc w:val="left"/>
      <w:pPr>
        <w:tabs>
          <w:tab w:val="num" w:pos="8064"/>
        </w:tabs>
        <w:ind w:left="8064" w:hanging="360"/>
      </w:pPr>
      <w:rPr>
        <w:rFonts w:ascii="Wingdings" w:hAnsi="Wingdings" w:hint="default"/>
      </w:rPr>
    </w:lvl>
  </w:abstractNum>
  <w:abstractNum w:abstractNumId="6">
    <w:nsid w:val="46667AA0"/>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nsid w:val="46806122"/>
    <w:multiLevelType w:val="hybridMultilevel"/>
    <w:tmpl w:val="323472D6"/>
    <w:lvl w:ilvl="0" w:tplc="04090001">
      <w:start w:val="1"/>
      <w:numFmt w:val="bullet"/>
      <w:lvlText w:val=""/>
      <w:lvlJc w:val="left"/>
      <w:pPr>
        <w:tabs>
          <w:tab w:val="num" w:pos="1080"/>
        </w:tabs>
        <w:ind w:left="1080" w:hanging="360"/>
      </w:pPr>
      <w:rPr>
        <w:rFonts w:ascii="Symbol" w:hAnsi="Symbol" w:hint="default"/>
        <w:sz w:val="24"/>
        <w:szCs w:val="24"/>
      </w:rPr>
    </w:lvl>
    <w:lvl w:ilvl="1" w:tplc="6D7C868A">
      <w:numFmt w:val="bullet"/>
      <w:lvlText w:val="-"/>
      <w:lvlJc w:val="left"/>
      <w:pPr>
        <w:tabs>
          <w:tab w:val="num" w:pos="4464"/>
        </w:tabs>
        <w:ind w:left="4464" w:hanging="360"/>
      </w:pPr>
      <w:rPr>
        <w:rFonts w:ascii="Times New Roman" w:eastAsia="Times New Roman" w:hAnsi="Times New Roman" w:cs="Times New Roman" w:hint="default"/>
        <w:sz w:val="24"/>
        <w:szCs w:val="24"/>
      </w:rPr>
    </w:lvl>
    <w:lvl w:ilvl="2" w:tplc="04090005">
      <w:start w:val="1"/>
      <w:numFmt w:val="bullet"/>
      <w:lvlText w:val=""/>
      <w:lvlJc w:val="left"/>
      <w:pPr>
        <w:tabs>
          <w:tab w:val="num" w:pos="5184"/>
        </w:tabs>
        <w:ind w:left="5184" w:hanging="360"/>
      </w:pPr>
      <w:rPr>
        <w:rFonts w:ascii="Wingdings" w:hAnsi="Wingdings" w:hint="default"/>
      </w:rPr>
    </w:lvl>
    <w:lvl w:ilvl="3" w:tplc="04090001">
      <w:start w:val="1"/>
      <w:numFmt w:val="bullet"/>
      <w:lvlText w:val=""/>
      <w:lvlJc w:val="left"/>
      <w:pPr>
        <w:tabs>
          <w:tab w:val="num" w:pos="5904"/>
        </w:tabs>
        <w:ind w:left="5904" w:hanging="360"/>
      </w:pPr>
      <w:rPr>
        <w:rFonts w:ascii="Symbol" w:hAnsi="Symbol" w:hint="default"/>
        <w:sz w:val="24"/>
        <w:szCs w:val="24"/>
      </w:rPr>
    </w:lvl>
    <w:lvl w:ilvl="4" w:tplc="04090003" w:tentative="1">
      <w:start w:val="1"/>
      <w:numFmt w:val="bullet"/>
      <w:lvlText w:val="o"/>
      <w:lvlJc w:val="left"/>
      <w:pPr>
        <w:tabs>
          <w:tab w:val="num" w:pos="6624"/>
        </w:tabs>
        <w:ind w:left="6624" w:hanging="360"/>
      </w:pPr>
      <w:rPr>
        <w:rFonts w:ascii="Courier New" w:hAnsi="Courier New" w:cs="Courier New" w:hint="default"/>
      </w:rPr>
    </w:lvl>
    <w:lvl w:ilvl="5" w:tplc="04090005" w:tentative="1">
      <w:start w:val="1"/>
      <w:numFmt w:val="bullet"/>
      <w:lvlText w:val=""/>
      <w:lvlJc w:val="left"/>
      <w:pPr>
        <w:tabs>
          <w:tab w:val="num" w:pos="7344"/>
        </w:tabs>
        <w:ind w:left="7344" w:hanging="360"/>
      </w:pPr>
      <w:rPr>
        <w:rFonts w:ascii="Wingdings" w:hAnsi="Wingdings" w:hint="default"/>
      </w:rPr>
    </w:lvl>
    <w:lvl w:ilvl="6" w:tplc="04090001" w:tentative="1">
      <w:start w:val="1"/>
      <w:numFmt w:val="bullet"/>
      <w:lvlText w:val=""/>
      <w:lvlJc w:val="left"/>
      <w:pPr>
        <w:tabs>
          <w:tab w:val="num" w:pos="8064"/>
        </w:tabs>
        <w:ind w:left="8064" w:hanging="360"/>
      </w:pPr>
      <w:rPr>
        <w:rFonts w:ascii="Symbol" w:hAnsi="Symbol" w:hint="default"/>
      </w:rPr>
    </w:lvl>
    <w:lvl w:ilvl="7" w:tplc="04090003" w:tentative="1">
      <w:start w:val="1"/>
      <w:numFmt w:val="bullet"/>
      <w:lvlText w:val="o"/>
      <w:lvlJc w:val="left"/>
      <w:pPr>
        <w:tabs>
          <w:tab w:val="num" w:pos="8784"/>
        </w:tabs>
        <w:ind w:left="8784" w:hanging="360"/>
      </w:pPr>
      <w:rPr>
        <w:rFonts w:ascii="Courier New" w:hAnsi="Courier New" w:cs="Courier New" w:hint="default"/>
      </w:rPr>
    </w:lvl>
    <w:lvl w:ilvl="8" w:tplc="04090005" w:tentative="1">
      <w:start w:val="1"/>
      <w:numFmt w:val="bullet"/>
      <w:lvlText w:val=""/>
      <w:lvlJc w:val="left"/>
      <w:pPr>
        <w:tabs>
          <w:tab w:val="num" w:pos="9504"/>
        </w:tabs>
        <w:ind w:left="9504" w:hanging="360"/>
      </w:pPr>
      <w:rPr>
        <w:rFonts w:ascii="Wingdings" w:hAnsi="Wingdings" w:hint="default"/>
      </w:rPr>
    </w:lvl>
  </w:abstractNum>
  <w:abstractNum w:abstractNumId="8">
    <w:nsid w:val="4A880FF4"/>
    <w:multiLevelType w:val="hybridMultilevel"/>
    <w:tmpl w:val="80A0079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52553ED6"/>
    <w:multiLevelType w:val="hybridMultilevel"/>
    <w:tmpl w:val="37E82C9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5EA77761"/>
    <w:multiLevelType w:val="hybridMultilevel"/>
    <w:tmpl w:val="3102966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5F447F8C"/>
    <w:multiLevelType w:val="multilevel"/>
    <w:tmpl w:val="E892CCAE"/>
    <w:lvl w:ilvl="0">
      <w:start w:val="1"/>
      <w:numFmt w:val="decimal"/>
      <w:pStyle w:val="Heading1TimesChar"/>
      <w:suff w:val="space"/>
      <w:lvlText w:val="%1."/>
      <w:lvlJc w:val="left"/>
      <w:pPr>
        <w:ind w:left="360" w:hanging="1080"/>
      </w:pPr>
      <w:rPr>
        <w:rFonts w:ascii="Arial" w:hAnsi="Arial" w:cs="Arial" w:hint="default"/>
        <w:b/>
        <w:bCs/>
        <w:i w:val="0"/>
        <w:iCs w:val="0"/>
        <w:strike w:val="0"/>
        <w:dstrike w:val="0"/>
        <w:vanish w:val="0"/>
        <w:color w:val="000000"/>
        <w:spacing w:val="0"/>
        <w:kern w:val="0"/>
        <w:position w:val="0"/>
        <w:sz w:val="24"/>
        <w:szCs w:val="24"/>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TimesChar"/>
      <w:suff w:val="space"/>
      <w:lvlText w:val="%1.%2"/>
      <w:lvlJc w:val="left"/>
      <w:pPr>
        <w:ind w:left="0" w:firstLine="0"/>
      </w:pPr>
      <w:rPr>
        <w:rFonts w:hint="default"/>
      </w:rPr>
    </w:lvl>
    <w:lvl w:ilvl="2">
      <w:start w:val="1"/>
      <w:numFmt w:val="decimal"/>
      <w:lvlText w:val="%1.%2.%3"/>
      <w:lvlJc w:val="left"/>
      <w:pPr>
        <w:tabs>
          <w:tab w:val="num" w:pos="720"/>
        </w:tabs>
        <w:ind w:left="720" w:firstLine="0"/>
      </w:pPr>
      <w:rPr>
        <w:rFonts w:ascii="Times New Roman" w:hAnsi="Times New Roman" w:cs="Arial" w:hint="default"/>
        <w:b w:val="0"/>
        <w:bCs/>
        <w:i w:val="0"/>
        <w:iCs w:val="0"/>
        <w:sz w:val="24"/>
        <w:szCs w:val="24"/>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nsid w:val="65E8494F"/>
    <w:multiLevelType w:val="hybridMultilevel"/>
    <w:tmpl w:val="19DEDC3C"/>
    <w:lvl w:ilvl="0" w:tplc="04090001">
      <w:start w:val="1"/>
      <w:numFmt w:val="bullet"/>
      <w:lvlText w:val=""/>
      <w:lvlJc w:val="left"/>
      <w:pPr>
        <w:tabs>
          <w:tab w:val="num" w:pos="1080"/>
        </w:tabs>
        <w:ind w:left="1080" w:hanging="360"/>
      </w:pPr>
      <w:rPr>
        <w:rFonts w:ascii="Symbol" w:hAnsi="Symbol" w:hint="default"/>
        <w:sz w:val="24"/>
        <w:szCs w:val="24"/>
      </w:rPr>
    </w:lvl>
    <w:lvl w:ilvl="1" w:tplc="04090003">
      <w:start w:val="1"/>
      <w:numFmt w:val="bullet"/>
      <w:lvlText w:val="o"/>
      <w:lvlJc w:val="left"/>
      <w:pPr>
        <w:tabs>
          <w:tab w:val="num" w:pos="3024"/>
        </w:tabs>
        <w:ind w:left="3024" w:hanging="360"/>
      </w:pPr>
      <w:rPr>
        <w:rFonts w:ascii="Courier New" w:hAnsi="Courier New" w:cs="Courier New" w:hint="default"/>
      </w:rPr>
    </w:lvl>
    <w:lvl w:ilvl="2" w:tplc="04090005">
      <w:start w:val="1"/>
      <w:numFmt w:val="bullet"/>
      <w:lvlText w:val=""/>
      <w:lvlJc w:val="left"/>
      <w:pPr>
        <w:tabs>
          <w:tab w:val="num" w:pos="3744"/>
        </w:tabs>
        <w:ind w:left="3744" w:hanging="360"/>
      </w:pPr>
      <w:rPr>
        <w:rFonts w:ascii="Wingdings" w:hAnsi="Wingdings" w:hint="default"/>
      </w:rPr>
    </w:lvl>
    <w:lvl w:ilvl="3" w:tplc="04090001">
      <w:start w:val="1"/>
      <w:numFmt w:val="bullet"/>
      <w:lvlText w:val=""/>
      <w:lvlJc w:val="left"/>
      <w:pPr>
        <w:tabs>
          <w:tab w:val="num" w:pos="4464"/>
        </w:tabs>
        <w:ind w:left="4464" w:hanging="360"/>
      </w:pPr>
      <w:rPr>
        <w:rFonts w:ascii="Symbol" w:hAnsi="Symbol" w:hint="default"/>
        <w:sz w:val="24"/>
        <w:szCs w:val="24"/>
      </w:rPr>
    </w:lvl>
    <w:lvl w:ilvl="4" w:tplc="04090003" w:tentative="1">
      <w:start w:val="1"/>
      <w:numFmt w:val="bullet"/>
      <w:lvlText w:val="o"/>
      <w:lvlJc w:val="left"/>
      <w:pPr>
        <w:tabs>
          <w:tab w:val="num" w:pos="5184"/>
        </w:tabs>
        <w:ind w:left="5184" w:hanging="360"/>
      </w:pPr>
      <w:rPr>
        <w:rFonts w:ascii="Courier New" w:hAnsi="Courier New" w:cs="Courier New" w:hint="default"/>
      </w:rPr>
    </w:lvl>
    <w:lvl w:ilvl="5" w:tplc="04090005" w:tentative="1">
      <w:start w:val="1"/>
      <w:numFmt w:val="bullet"/>
      <w:lvlText w:val=""/>
      <w:lvlJc w:val="left"/>
      <w:pPr>
        <w:tabs>
          <w:tab w:val="num" w:pos="5904"/>
        </w:tabs>
        <w:ind w:left="5904" w:hanging="360"/>
      </w:pPr>
      <w:rPr>
        <w:rFonts w:ascii="Wingdings" w:hAnsi="Wingdings" w:hint="default"/>
      </w:rPr>
    </w:lvl>
    <w:lvl w:ilvl="6" w:tplc="04090001" w:tentative="1">
      <w:start w:val="1"/>
      <w:numFmt w:val="bullet"/>
      <w:lvlText w:val=""/>
      <w:lvlJc w:val="left"/>
      <w:pPr>
        <w:tabs>
          <w:tab w:val="num" w:pos="6624"/>
        </w:tabs>
        <w:ind w:left="6624" w:hanging="360"/>
      </w:pPr>
      <w:rPr>
        <w:rFonts w:ascii="Symbol" w:hAnsi="Symbol" w:hint="default"/>
      </w:rPr>
    </w:lvl>
    <w:lvl w:ilvl="7" w:tplc="04090003" w:tentative="1">
      <w:start w:val="1"/>
      <w:numFmt w:val="bullet"/>
      <w:lvlText w:val="o"/>
      <w:lvlJc w:val="left"/>
      <w:pPr>
        <w:tabs>
          <w:tab w:val="num" w:pos="7344"/>
        </w:tabs>
        <w:ind w:left="7344" w:hanging="360"/>
      </w:pPr>
      <w:rPr>
        <w:rFonts w:ascii="Courier New" w:hAnsi="Courier New" w:cs="Courier New" w:hint="default"/>
      </w:rPr>
    </w:lvl>
    <w:lvl w:ilvl="8" w:tplc="04090005" w:tentative="1">
      <w:start w:val="1"/>
      <w:numFmt w:val="bullet"/>
      <w:lvlText w:val=""/>
      <w:lvlJc w:val="left"/>
      <w:pPr>
        <w:tabs>
          <w:tab w:val="num" w:pos="8064"/>
        </w:tabs>
        <w:ind w:left="8064" w:hanging="360"/>
      </w:pPr>
      <w:rPr>
        <w:rFonts w:ascii="Wingdings" w:hAnsi="Wingdings" w:hint="default"/>
      </w:rPr>
    </w:lvl>
  </w:abstractNum>
  <w:num w:numId="1">
    <w:abstractNumId w:val="1"/>
  </w:num>
  <w:num w:numId="2">
    <w:abstractNumId w:val="11"/>
  </w:num>
  <w:num w:numId="3">
    <w:abstractNumId w:val="2"/>
  </w:num>
  <w:num w:numId="4">
    <w:abstractNumId w:val="6"/>
  </w:num>
  <w:num w:numId="5">
    <w:abstractNumId w:val="7"/>
  </w:num>
  <w:num w:numId="6">
    <w:abstractNumId w:val="3"/>
  </w:num>
  <w:num w:numId="7">
    <w:abstractNumId w:val="10"/>
  </w:num>
  <w:num w:numId="8">
    <w:abstractNumId w:val="8"/>
  </w:num>
  <w:num w:numId="9">
    <w:abstractNumId w:val="9"/>
  </w:num>
  <w:num w:numId="10">
    <w:abstractNumId w:val="12"/>
  </w:num>
  <w:num w:numId="11">
    <w:abstractNumId w:val="4"/>
  </w:num>
  <w:num w:numId="12">
    <w:abstractNumId w:val="5"/>
  </w:num>
  <w:num w:numId="13">
    <w:abstractNumId w:val="0"/>
  </w:num>
  <w:num w:numId="14">
    <w:abstractNumId w:val="11"/>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88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D72"/>
    <w:rsid w:val="00011BCC"/>
    <w:rsid w:val="00021A39"/>
    <w:rsid w:val="00027B75"/>
    <w:rsid w:val="000303BB"/>
    <w:rsid w:val="00053933"/>
    <w:rsid w:val="00062DE1"/>
    <w:rsid w:val="000A6BD7"/>
    <w:rsid w:val="000C633B"/>
    <w:rsid w:val="000E4F5C"/>
    <w:rsid w:val="0011504B"/>
    <w:rsid w:val="00130A84"/>
    <w:rsid w:val="001C595D"/>
    <w:rsid w:val="001F695C"/>
    <w:rsid w:val="0022234D"/>
    <w:rsid w:val="00232C2C"/>
    <w:rsid w:val="00281484"/>
    <w:rsid w:val="002E1E96"/>
    <w:rsid w:val="002E390C"/>
    <w:rsid w:val="003146EA"/>
    <w:rsid w:val="00375DEB"/>
    <w:rsid w:val="00383ED7"/>
    <w:rsid w:val="00384E7D"/>
    <w:rsid w:val="003C6819"/>
    <w:rsid w:val="003D1245"/>
    <w:rsid w:val="003E012B"/>
    <w:rsid w:val="00435920"/>
    <w:rsid w:val="00481D72"/>
    <w:rsid w:val="00487B75"/>
    <w:rsid w:val="004945BE"/>
    <w:rsid w:val="004A0A08"/>
    <w:rsid w:val="005635AF"/>
    <w:rsid w:val="0057374B"/>
    <w:rsid w:val="00577B8B"/>
    <w:rsid w:val="005847FF"/>
    <w:rsid w:val="005A7BD2"/>
    <w:rsid w:val="005B6A16"/>
    <w:rsid w:val="005E0095"/>
    <w:rsid w:val="00677D39"/>
    <w:rsid w:val="00683AB1"/>
    <w:rsid w:val="006875EA"/>
    <w:rsid w:val="00690552"/>
    <w:rsid w:val="006960A3"/>
    <w:rsid w:val="007803A2"/>
    <w:rsid w:val="00790499"/>
    <w:rsid w:val="00791BE7"/>
    <w:rsid w:val="007D11F5"/>
    <w:rsid w:val="007F70FE"/>
    <w:rsid w:val="00801FDC"/>
    <w:rsid w:val="008071FD"/>
    <w:rsid w:val="0086057A"/>
    <w:rsid w:val="00887142"/>
    <w:rsid w:val="008966C9"/>
    <w:rsid w:val="008A3848"/>
    <w:rsid w:val="008B1A6C"/>
    <w:rsid w:val="00907CFD"/>
    <w:rsid w:val="00921C4A"/>
    <w:rsid w:val="009477F5"/>
    <w:rsid w:val="00974476"/>
    <w:rsid w:val="009B6870"/>
    <w:rsid w:val="009C7C17"/>
    <w:rsid w:val="009D763C"/>
    <w:rsid w:val="009E1A46"/>
    <w:rsid w:val="009F00E4"/>
    <w:rsid w:val="00A3021B"/>
    <w:rsid w:val="00A5580B"/>
    <w:rsid w:val="00A876D9"/>
    <w:rsid w:val="00A95D88"/>
    <w:rsid w:val="00AC24F6"/>
    <w:rsid w:val="00AC3710"/>
    <w:rsid w:val="00AC41F5"/>
    <w:rsid w:val="00AE5478"/>
    <w:rsid w:val="00B002C3"/>
    <w:rsid w:val="00B071B5"/>
    <w:rsid w:val="00B16E4E"/>
    <w:rsid w:val="00B42B68"/>
    <w:rsid w:val="00B570E0"/>
    <w:rsid w:val="00B90560"/>
    <w:rsid w:val="00B92BF4"/>
    <w:rsid w:val="00B93CBC"/>
    <w:rsid w:val="00B9563D"/>
    <w:rsid w:val="00BA060E"/>
    <w:rsid w:val="00BB0461"/>
    <w:rsid w:val="00BB364B"/>
    <w:rsid w:val="00BC3061"/>
    <w:rsid w:val="00BF278A"/>
    <w:rsid w:val="00C13132"/>
    <w:rsid w:val="00C37B02"/>
    <w:rsid w:val="00CD25AA"/>
    <w:rsid w:val="00D0377C"/>
    <w:rsid w:val="00D04AC5"/>
    <w:rsid w:val="00D04E8D"/>
    <w:rsid w:val="00D279CE"/>
    <w:rsid w:val="00D62F32"/>
    <w:rsid w:val="00DB0F79"/>
    <w:rsid w:val="00DF4391"/>
    <w:rsid w:val="00E07908"/>
    <w:rsid w:val="00E66574"/>
    <w:rsid w:val="00E941F6"/>
    <w:rsid w:val="00EB3331"/>
    <w:rsid w:val="00ED2FBD"/>
    <w:rsid w:val="00F03CA1"/>
    <w:rsid w:val="00F25D89"/>
    <w:rsid w:val="00F4413D"/>
    <w:rsid w:val="00F60160"/>
    <w:rsid w:val="00F6453B"/>
    <w:rsid w:val="00FD4874"/>
    <w:rsid w:val="00FE1CEA"/>
    <w:rsid w:val="00FE3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D72"/>
    <w:rPr>
      <w:rFonts w:ascii="Arial" w:eastAsia="Times New Roman" w:hAnsi="Arial" w:cs="Arial"/>
      <w:sz w:val="24"/>
      <w:szCs w:val="24"/>
    </w:rPr>
  </w:style>
  <w:style w:type="paragraph" w:styleId="Heading1">
    <w:name w:val="heading 1"/>
    <w:basedOn w:val="Normal"/>
    <w:next w:val="Normal"/>
    <w:link w:val="Heading1Char"/>
    <w:uiPriority w:val="9"/>
    <w:qFormat/>
    <w:rsid w:val="005A7BD2"/>
    <w:pPr>
      <w:keepNext/>
      <w:keepLines/>
      <w:spacing w:before="120" w:after="240"/>
      <w:outlineLvl w:val="0"/>
    </w:pPr>
    <w:rPr>
      <w:b/>
      <w:bCs/>
      <w:color w:val="000000" w:themeColor="text1"/>
      <w:u w:val="single"/>
      <w:lang w:val="x-none" w:eastAsia="x-none"/>
    </w:rPr>
  </w:style>
  <w:style w:type="paragraph" w:styleId="Heading2">
    <w:name w:val="heading 2"/>
    <w:basedOn w:val="Normal"/>
    <w:next w:val="Normal"/>
    <w:link w:val="Heading2Char"/>
    <w:uiPriority w:val="9"/>
    <w:unhideWhenUsed/>
    <w:qFormat/>
    <w:rsid w:val="00D04AC5"/>
    <w:pPr>
      <w:keepNext/>
      <w:keepLines/>
      <w:spacing w:before="200" w:after="120"/>
      <w:outlineLvl w:val="1"/>
    </w:pPr>
    <w:rPr>
      <w:rFonts w:cs="Times New Roman"/>
      <w:b/>
      <w:bCs/>
      <w:szCs w:val="26"/>
      <w:lang w:val="x-none" w:eastAsia="x-none"/>
    </w:rPr>
  </w:style>
  <w:style w:type="paragraph" w:styleId="Heading3">
    <w:name w:val="heading 3"/>
    <w:basedOn w:val="Heading2"/>
    <w:next w:val="Normal"/>
    <w:link w:val="Heading3Char"/>
    <w:uiPriority w:val="9"/>
    <w:unhideWhenUsed/>
    <w:qFormat/>
    <w:rsid w:val="00B9563D"/>
    <w:pPr>
      <w:spacing w:before="240" w:after="240"/>
      <w:outlineLvl w:val="2"/>
    </w:pPr>
    <w:rPr>
      <w:rFonts w:cs="Arial"/>
      <w:color w:val="000000" w:themeColor="text1"/>
      <w:szCs w:val="24"/>
      <w:u w:val="single"/>
    </w:rPr>
  </w:style>
  <w:style w:type="paragraph" w:styleId="Heading7">
    <w:name w:val="heading 7"/>
    <w:basedOn w:val="Normal"/>
    <w:next w:val="Normal"/>
    <w:link w:val="Heading7Char"/>
    <w:qFormat/>
    <w:rsid w:val="00481D72"/>
    <w:pPr>
      <w:spacing w:before="240" w:after="60"/>
      <w:outlineLvl w:val="6"/>
    </w:pPr>
    <w:rPr>
      <w:rFonts w:cs="Times New Roman"/>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481D72"/>
    <w:rPr>
      <w:rFonts w:ascii="Arial" w:eastAsia="Times New Roman" w:hAnsi="Arial" w:cs="Arial"/>
      <w:sz w:val="24"/>
      <w:szCs w:val="24"/>
    </w:rPr>
  </w:style>
  <w:style w:type="paragraph" w:styleId="Footer">
    <w:name w:val="footer"/>
    <w:basedOn w:val="Normal"/>
    <w:link w:val="FooterChar"/>
    <w:rsid w:val="00481D72"/>
    <w:pPr>
      <w:widowControl w:val="0"/>
      <w:tabs>
        <w:tab w:val="center" w:pos="4320"/>
        <w:tab w:val="right" w:pos="8640"/>
      </w:tabs>
    </w:pPr>
    <w:rPr>
      <w:rFonts w:cs="Times New Roman"/>
      <w:snapToGrid w:val="0"/>
      <w:szCs w:val="20"/>
      <w:lang w:val="x-none" w:eastAsia="x-none"/>
    </w:rPr>
  </w:style>
  <w:style w:type="character" w:customStyle="1" w:styleId="FooterChar">
    <w:name w:val="Footer Char"/>
    <w:link w:val="Footer"/>
    <w:rsid w:val="00481D72"/>
    <w:rPr>
      <w:rFonts w:ascii="Arial" w:eastAsia="Times New Roman" w:hAnsi="Arial" w:cs="Arial"/>
      <w:snapToGrid w:val="0"/>
      <w:sz w:val="24"/>
      <w:szCs w:val="20"/>
    </w:rPr>
  </w:style>
  <w:style w:type="character" w:styleId="PageNumber">
    <w:name w:val="page number"/>
    <w:basedOn w:val="DefaultParagraphFont"/>
    <w:rsid w:val="00481D72"/>
  </w:style>
  <w:style w:type="paragraph" w:styleId="EndnoteText">
    <w:name w:val="endnote text"/>
    <w:basedOn w:val="Normal"/>
    <w:link w:val="EndnoteTextChar"/>
    <w:semiHidden/>
    <w:rsid w:val="00481D72"/>
    <w:rPr>
      <w:rFonts w:cs="Times New Roman"/>
      <w:sz w:val="20"/>
      <w:szCs w:val="20"/>
      <w:lang w:val="x-none" w:eastAsia="x-none"/>
    </w:rPr>
  </w:style>
  <w:style w:type="character" w:customStyle="1" w:styleId="EndnoteTextChar">
    <w:name w:val="Endnote Text Char"/>
    <w:link w:val="EndnoteText"/>
    <w:semiHidden/>
    <w:rsid w:val="00481D72"/>
    <w:rPr>
      <w:rFonts w:ascii="Arial" w:eastAsia="Times New Roman" w:hAnsi="Arial" w:cs="Arial"/>
      <w:sz w:val="20"/>
      <w:szCs w:val="20"/>
    </w:rPr>
  </w:style>
  <w:style w:type="character" w:styleId="Hyperlink">
    <w:name w:val="Hyperlink"/>
    <w:rsid w:val="00481D72"/>
    <w:rPr>
      <w:color w:val="000099"/>
      <w:u w:val="single"/>
    </w:rPr>
  </w:style>
  <w:style w:type="character" w:styleId="Strong">
    <w:name w:val="Strong"/>
    <w:qFormat/>
    <w:rsid w:val="00481D72"/>
    <w:rPr>
      <w:b/>
      <w:bCs/>
    </w:rPr>
  </w:style>
  <w:style w:type="character" w:styleId="Emphasis">
    <w:name w:val="Emphasis"/>
    <w:qFormat/>
    <w:rsid w:val="00481D72"/>
    <w:rPr>
      <w:i/>
      <w:iCs/>
    </w:rPr>
  </w:style>
  <w:style w:type="paragraph" w:customStyle="1" w:styleId="DefaultChar">
    <w:name w:val="Default Char"/>
    <w:link w:val="DefaultCharChar"/>
    <w:rsid w:val="00481D72"/>
    <w:pPr>
      <w:autoSpaceDE w:val="0"/>
      <w:autoSpaceDN w:val="0"/>
      <w:adjustRightInd w:val="0"/>
    </w:pPr>
    <w:rPr>
      <w:rFonts w:ascii="Arial" w:eastAsia="Times New Roman" w:hAnsi="Arial" w:cs="Arial"/>
      <w:color w:val="000000"/>
      <w:sz w:val="24"/>
      <w:szCs w:val="24"/>
    </w:rPr>
  </w:style>
  <w:style w:type="paragraph" w:customStyle="1" w:styleId="Heading1TimesChar">
    <w:name w:val="Heading 1 Times Char"/>
    <w:basedOn w:val="Heading1"/>
    <w:next w:val="NormalIndent"/>
    <w:link w:val="Heading1TimesCharChar"/>
    <w:rsid w:val="00481D72"/>
    <w:pPr>
      <w:keepLines w:val="0"/>
      <w:numPr>
        <w:numId w:val="2"/>
      </w:numPr>
      <w:tabs>
        <w:tab w:val="num" w:pos="1080"/>
      </w:tabs>
      <w:spacing w:before="100" w:beforeAutospacing="1" w:after="120" w:line="274" w:lineRule="auto"/>
      <w:ind w:hanging="360"/>
    </w:pPr>
    <w:rPr>
      <w:caps/>
      <w:color w:val="auto"/>
      <w:kern w:val="32"/>
      <w:szCs w:val="32"/>
    </w:rPr>
  </w:style>
  <w:style w:type="paragraph" w:customStyle="1" w:styleId="Heading2TimesChar">
    <w:name w:val="Heading 2 Times Char"/>
    <w:basedOn w:val="Heading2"/>
    <w:link w:val="Heading2TimesCharChar"/>
    <w:rsid w:val="00481D72"/>
    <w:pPr>
      <w:keepLines w:val="0"/>
      <w:numPr>
        <w:ilvl w:val="1"/>
        <w:numId w:val="2"/>
      </w:numPr>
      <w:tabs>
        <w:tab w:val="left" w:pos="720"/>
        <w:tab w:val="num" w:pos="2160"/>
      </w:tabs>
      <w:spacing w:before="240" w:line="274" w:lineRule="auto"/>
      <w:ind w:left="360" w:hanging="360"/>
    </w:pPr>
    <w:rPr>
      <w:iCs/>
      <w:szCs w:val="28"/>
    </w:rPr>
  </w:style>
  <w:style w:type="paragraph" w:customStyle="1" w:styleId="Bulletlisting">
    <w:name w:val="Bullet (listing)"/>
    <w:basedOn w:val="Normal"/>
    <w:rsid w:val="00481D72"/>
    <w:pPr>
      <w:numPr>
        <w:numId w:val="1"/>
      </w:numPr>
    </w:pPr>
    <w:rPr>
      <w:rFonts w:ascii="Times New Roman" w:hAnsi="Times New Roman"/>
      <w:szCs w:val="22"/>
    </w:rPr>
  </w:style>
  <w:style w:type="character" w:customStyle="1" w:styleId="Heading2TimesCharChar">
    <w:name w:val="Heading 2 Times Char Char"/>
    <w:link w:val="Heading2TimesChar"/>
    <w:rsid w:val="00481D72"/>
    <w:rPr>
      <w:rFonts w:ascii="Arial" w:eastAsia="Times New Roman" w:hAnsi="Arial" w:cs="Arial"/>
      <w:b/>
      <w:bCs/>
      <w:iCs/>
      <w:sz w:val="24"/>
      <w:szCs w:val="28"/>
    </w:rPr>
  </w:style>
  <w:style w:type="character" w:customStyle="1" w:styleId="DefaultCharChar">
    <w:name w:val="Default Char Char"/>
    <w:link w:val="DefaultChar"/>
    <w:rsid w:val="00481D72"/>
    <w:rPr>
      <w:rFonts w:ascii="Arial" w:eastAsia="Times New Roman" w:hAnsi="Arial" w:cs="Arial"/>
      <w:color w:val="000000"/>
      <w:sz w:val="24"/>
      <w:szCs w:val="24"/>
      <w:lang w:val="en-US" w:eastAsia="en-US" w:bidi="ar-SA"/>
    </w:rPr>
  </w:style>
  <w:style w:type="character" w:customStyle="1" w:styleId="Heading1TimesCharChar">
    <w:name w:val="Heading 1 Times Char Char"/>
    <w:link w:val="Heading1TimesChar"/>
    <w:rsid w:val="00481D72"/>
    <w:rPr>
      <w:rFonts w:ascii="Arial" w:eastAsia="Times New Roman" w:hAnsi="Arial" w:cs="Arial"/>
      <w:b/>
      <w:bCs/>
      <w:caps/>
      <w:kern w:val="32"/>
      <w:sz w:val="24"/>
      <w:szCs w:val="32"/>
      <w:u w:val="single"/>
    </w:rPr>
  </w:style>
  <w:style w:type="paragraph" w:styleId="BodyTextIndent3">
    <w:name w:val="Body Text Indent 3"/>
    <w:basedOn w:val="Normal"/>
    <w:link w:val="BodyTextIndent3Char"/>
    <w:rsid w:val="00481D72"/>
    <w:pPr>
      <w:spacing w:after="120"/>
      <w:ind w:left="360"/>
    </w:pPr>
    <w:rPr>
      <w:rFonts w:ascii="Times New Roman" w:hAnsi="Times New Roman" w:cs="Times New Roman"/>
      <w:sz w:val="16"/>
      <w:szCs w:val="16"/>
      <w:lang w:val="x-none" w:eastAsia="x-none"/>
    </w:rPr>
  </w:style>
  <w:style w:type="character" w:customStyle="1" w:styleId="BodyTextIndent3Char">
    <w:name w:val="Body Text Indent 3 Char"/>
    <w:link w:val="BodyTextIndent3"/>
    <w:rsid w:val="00481D72"/>
    <w:rPr>
      <w:rFonts w:ascii="Times New Roman" w:eastAsia="Times New Roman" w:hAnsi="Times New Roman" w:cs="Times New Roman"/>
      <w:sz w:val="16"/>
      <w:szCs w:val="16"/>
    </w:rPr>
  </w:style>
  <w:style w:type="paragraph" w:customStyle="1" w:styleId="Default">
    <w:name w:val="Default"/>
    <w:rsid w:val="00481D72"/>
    <w:pPr>
      <w:autoSpaceDE w:val="0"/>
      <w:autoSpaceDN w:val="0"/>
      <w:adjustRightInd w:val="0"/>
    </w:pPr>
    <w:rPr>
      <w:rFonts w:ascii="Times New Roman" w:eastAsia="Times New Roman" w:hAnsi="Times New Roman"/>
      <w:color w:val="000000"/>
      <w:sz w:val="24"/>
      <w:szCs w:val="24"/>
    </w:rPr>
  </w:style>
  <w:style w:type="paragraph" w:styleId="Header">
    <w:name w:val="header"/>
    <w:basedOn w:val="Normal"/>
    <w:link w:val="HeaderChar"/>
    <w:uiPriority w:val="99"/>
    <w:unhideWhenUsed/>
    <w:rsid w:val="00481D72"/>
    <w:pPr>
      <w:tabs>
        <w:tab w:val="center" w:pos="4680"/>
        <w:tab w:val="right" w:pos="9360"/>
      </w:tabs>
    </w:pPr>
    <w:rPr>
      <w:rFonts w:cs="Times New Roman"/>
      <w:lang w:val="x-none" w:eastAsia="x-none"/>
    </w:rPr>
  </w:style>
  <w:style w:type="character" w:customStyle="1" w:styleId="HeaderChar">
    <w:name w:val="Header Char"/>
    <w:link w:val="Header"/>
    <w:uiPriority w:val="99"/>
    <w:rsid w:val="00481D72"/>
    <w:rPr>
      <w:rFonts w:ascii="Arial" w:eastAsia="Times New Roman" w:hAnsi="Arial" w:cs="Arial"/>
      <w:sz w:val="24"/>
      <w:szCs w:val="24"/>
    </w:rPr>
  </w:style>
  <w:style w:type="character" w:customStyle="1" w:styleId="Heading1Char">
    <w:name w:val="Heading 1 Char"/>
    <w:link w:val="Heading1"/>
    <w:uiPriority w:val="9"/>
    <w:rsid w:val="005A7BD2"/>
    <w:rPr>
      <w:rFonts w:ascii="Arial" w:eastAsia="Times New Roman" w:hAnsi="Arial" w:cs="Arial"/>
      <w:b/>
      <w:bCs/>
      <w:color w:val="000000" w:themeColor="text1"/>
      <w:sz w:val="24"/>
      <w:szCs w:val="24"/>
      <w:u w:val="single"/>
      <w:lang w:val="x-none" w:eastAsia="x-none"/>
    </w:rPr>
  </w:style>
  <w:style w:type="paragraph" w:styleId="NormalIndent">
    <w:name w:val="Normal Indent"/>
    <w:basedOn w:val="Normal"/>
    <w:uiPriority w:val="99"/>
    <w:semiHidden/>
    <w:unhideWhenUsed/>
    <w:rsid w:val="00481D72"/>
    <w:pPr>
      <w:ind w:left="720"/>
    </w:pPr>
  </w:style>
  <w:style w:type="character" w:customStyle="1" w:styleId="Heading2Char">
    <w:name w:val="Heading 2 Char"/>
    <w:link w:val="Heading2"/>
    <w:uiPriority w:val="9"/>
    <w:rsid w:val="00D04AC5"/>
    <w:rPr>
      <w:rFonts w:ascii="Arial" w:eastAsia="Times New Roman" w:hAnsi="Arial"/>
      <w:b/>
      <w:bCs/>
      <w:sz w:val="24"/>
      <w:szCs w:val="26"/>
      <w:lang w:val="x-none" w:eastAsia="x-none"/>
    </w:rPr>
  </w:style>
  <w:style w:type="character" w:styleId="FollowedHyperlink">
    <w:name w:val="FollowedHyperlink"/>
    <w:uiPriority w:val="99"/>
    <w:semiHidden/>
    <w:unhideWhenUsed/>
    <w:rsid w:val="00B92BF4"/>
    <w:rPr>
      <w:color w:val="800080"/>
      <w:u w:val="single"/>
    </w:rPr>
  </w:style>
  <w:style w:type="paragraph" w:styleId="BalloonText">
    <w:name w:val="Balloon Text"/>
    <w:basedOn w:val="Normal"/>
    <w:link w:val="BalloonTextChar"/>
    <w:uiPriority w:val="99"/>
    <w:semiHidden/>
    <w:unhideWhenUsed/>
    <w:rsid w:val="00B90560"/>
    <w:rPr>
      <w:rFonts w:ascii="Tahoma" w:hAnsi="Tahoma" w:cs="Times New Roman"/>
      <w:sz w:val="16"/>
      <w:szCs w:val="16"/>
      <w:lang w:val="x-none" w:eastAsia="x-none"/>
    </w:rPr>
  </w:style>
  <w:style w:type="character" w:customStyle="1" w:styleId="BalloonTextChar">
    <w:name w:val="Balloon Text Char"/>
    <w:link w:val="BalloonText"/>
    <w:uiPriority w:val="99"/>
    <w:semiHidden/>
    <w:rsid w:val="00B90560"/>
    <w:rPr>
      <w:rFonts w:ascii="Tahoma" w:eastAsia="Times New Roman" w:hAnsi="Tahoma" w:cs="Tahoma"/>
      <w:sz w:val="16"/>
      <w:szCs w:val="16"/>
    </w:rPr>
  </w:style>
  <w:style w:type="paragraph" w:styleId="ListParagraph">
    <w:name w:val="List Paragraph"/>
    <w:basedOn w:val="Normal"/>
    <w:uiPriority w:val="34"/>
    <w:qFormat/>
    <w:rsid w:val="00887142"/>
    <w:pPr>
      <w:ind w:left="720"/>
    </w:pPr>
  </w:style>
  <w:style w:type="character" w:styleId="CommentReference">
    <w:name w:val="annotation reference"/>
    <w:uiPriority w:val="99"/>
    <w:semiHidden/>
    <w:unhideWhenUsed/>
    <w:rsid w:val="00435920"/>
    <w:rPr>
      <w:sz w:val="16"/>
      <w:szCs w:val="16"/>
    </w:rPr>
  </w:style>
  <w:style w:type="paragraph" w:styleId="CommentText">
    <w:name w:val="annotation text"/>
    <w:basedOn w:val="Normal"/>
    <w:link w:val="CommentTextChar"/>
    <w:uiPriority w:val="99"/>
    <w:semiHidden/>
    <w:unhideWhenUsed/>
    <w:rsid w:val="00435920"/>
    <w:rPr>
      <w:rFonts w:cs="Times New Roman"/>
      <w:sz w:val="20"/>
      <w:szCs w:val="20"/>
      <w:lang w:val="x-none" w:eastAsia="x-none"/>
    </w:rPr>
  </w:style>
  <w:style w:type="character" w:customStyle="1" w:styleId="CommentTextChar">
    <w:name w:val="Comment Text Char"/>
    <w:link w:val="CommentText"/>
    <w:uiPriority w:val="99"/>
    <w:semiHidden/>
    <w:rsid w:val="00435920"/>
    <w:rPr>
      <w:rFonts w:ascii="Arial" w:eastAsia="Times New Roman" w:hAnsi="Arial" w:cs="Arial"/>
    </w:rPr>
  </w:style>
  <w:style w:type="paragraph" w:styleId="CommentSubject">
    <w:name w:val="annotation subject"/>
    <w:basedOn w:val="CommentText"/>
    <w:next w:val="CommentText"/>
    <w:link w:val="CommentSubjectChar"/>
    <w:uiPriority w:val="99"/>
    <w:semiHidden/>
    <w:unhideWhenUsed/>
    <w:rsid w:val="00435920"/>
    <w:rPr>
      <w:b/>
      <w:bCs/>
    </w:rPr>
  </w:style>
  <w:style w:type="character" w:customStyle="1" w:styleId="CommentSubjectChar">
    <w:name w:val="Comment Subject Char"/>
    <w:link w:val="CommentSubject"/>
    <w:uiPriority w:val="99"/>
    <w:semiHidden/>
    <w:rsid w:val="00435920"/>
    <w:rPr>
      <w:rFonts w:ascii="Arial" w:eastAsia="Times New Roman" w:hAnsi="Arial" w:cs="Arial"/>
      <w:b/>
      <w:bCs/>
    </w:rPr>
  </w:style>
  <w:style w:type="paragraph" w:styleId="Title">
    <w:name w:val="Title"/>
    <w:basedOn w:val="Normal"/>
    <w:next w:val="Normal"/>
    <w:link w:val="TitleChar"/>
    <w:uiPriority w:val="10"/>
    <w:qFormat/>
    <w:rsid w:val="005A7BD2"/>
    <w:pPr>
      <w:spacing w:after="300"/>
      <w:contextualSpacing/>
      <w:jc w:val="center"/>
    </w:pPr>
    <w:rPr>
      <w:rFonts w:eastAsiaTheme="majorEastAsia" w:cstheme="majorBidi"/>
      <w:b/>
      <w:i/>
      <w:spacing w:val="5"/>
      <w:kern w:val="28"/>
      <w:szCs w:val="52"/>
    </w:rPr>
  </w:style>
  <w:style w:type="character" w:customStyle="1" w:styleId="TitleChar">
    <w:name w:val="Title Char"/>
    <w:basedOn w:val="DefaultParagraphFont"/>
    <w:link w:val="Title"/>
    <w:uiPriority w:val="10"/>
    <w:rsid w:val="005A7BD2"/>
    <w:rPr>
      <w:rFonts w:ascii="Arial" w:eastAsiaTheme="majorEastAsia" w:hAnsi="Arial" w:cstheme="majorBidi"/>
      <w:b/>
      <w:i/>
      <w:spacing w:val="5"/>
      <w:kern w:val="28"/>
      <w:sz w:val="24"/>
      <w:szCs w:val="52"/>
    </w:rPr>
  </w:style>
  <w:style w:type="character" w:customStyle="1" w:styleId="Heading3Char">
    <w:name w:val="Heading 3 Char"/>
    <w:basedOn w:val="DefaultParagraphFont"/>
    <w:link w:val="Heading3"/>
    <w:uiPriority w:val="9"/>
    <w:rsid w:val="00B9563D"/>
    <w:rPr>
      <w:rFonts w:ascii="Arial" w:eastAsia="Times New Roman" w:hAnsi="Arial" w:cs="Arial"/>
      <w:b/>
      <w:bCs/>
      <w:color w:val="000000" w:themeColor="text1"/>
      <w:sz w:val="24"/>
      <w:szCs w:val="24"/>
      <w:u w:val="single"/>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D72"/>
    <w:rPr>
      <w:rFonts w:ascii="Arial" w:eastAsia="Times New Roman" w:hAnsi="Arial" w:cs="Arial"/>
      <w:sz w:val="24"/>
      <w:szCs w:val="24"/>
    </w:rPr>
  </w:style>
  <w:style w:type="paragraph" w:styleId="Heading1">
    <w:name w:val="heading 1"/>
    <w:basedOn w:val="Normal"/>
    <w:next w:val="Normal"/>
    <w:link w:val="Heading1Char"/>
    <w:uiPriority w:val="9"/>
    <w:qFormat/>
    <w:rsid w:val="005A7BD2"/>
    <w:pPr>
      <w:keepNext/>
      <w:keepLines/>
      <w:spacing w:before="120" w:after="240"/>
      <w:outlineLvl w:val="0"/>
    </w:pPr>
    <w:rPr>
      <w:b/>
      <w:bCs/>
      <w:color w:val="000000" w:themeColor="text1"/>
      <w:u w:val="single"/>
      <w:lang w:val="x-none" w:eastAsia="x-none"/>
    </w:rPr>
  </w:style>
  <w:style w:type="paragraph" w:styleId="Heading2">
    <w:name w:val="heading 2"/>
    <w:basedOn w:val="Normal"/>
    <w:next w:val="Normal"/>
    <w:link w:val="Heading2Char"/>
    <w:uiPriority w:val="9"/>
    <w:unhideWhenUsed/>
    <w:qFormat/>
    <w:rsid w:val="00D04AC5"/>
    <w:pPr>
      <w:keepNext/>
      <w:keepLines/>
      <w:spacing w:before="200" w:after="120"/>
      <w:outlineLvl w:val="1"/>
    </w:pPr>
    <w:rPr>
      <w:rFonts w:cs="Times New Roman"/>
      <w:b/>
      <w:bCs/>
      <w:szCs w:val="26"/>
      <w:lang w:val="x-none" w:eastAsia="x-none"/>
    </w:rPr>
  </w:style>
  <w:style w:type="paragraph" w:styleId="Heading3">
    <w:name w:val="heading 3"/>
    <w:basedOn w:val="Heading2"/>
    <w:next w:val="Normal"/>
    <w:link w:val="Heading3Char"/>
    <w:uiPriority w:val="9"/>
    <w:unhideWhenUsed/>
    <w:qFormat/>
    <w:rsid w:val="00B9563D"/>
    <w:pPr>
      <w:spacing w:before="240" w:after="240"/>
      <w:outlineLvl w:val="2"/>
    </w:pPr>
    <w:rPr>
      <w:rFonts w:cs="Arial"/>
      <w:color w:val="000000" w:themeColor="text1"/>
      <w:szCs w:val="24"/>
      <w:u w:val="single"/>
    </w:rPr>
  </w:style>
  <w:style w:type="paragraph" w:styleId="Heading7">
    <w:name w:val="heading 7"/>
    <w:basedOn w:val="Normal"/>
    <w:next w:val="Normal"/>
    <w:link w:val="Heading7Char"/>
    <w:qFormat/>
    <w:rsid w:val="00481D72"/>
    <w:pPr>
      <w:spacing w:before="240" w:after="60"/>
      <w:outlineLvl w:val="6"/>
    </w:pPr>
    <w:rPr>
      <w:rFonts w:cs="Times New Roman"/>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rsid w:val="00481D72"/>
    <w:rPr>
      <w:rFonts w:ascii="Arial" w:eastAsia="Times New Roman" w:hAnsi="Arial" w:cs="Arial"/>
      <w:sz w:val="24"/>
      <w:szCs w:val="24"/>
    </w:rPr>
  </w:style>
  <w:style w:type="paragraph" w:styleId="Footer">
    <w:name w:val="footer"/>
    <w:basedOn w:val="Normal"/>
    <w:link w:val="FooterChar"/>
    <w:rsid w:val="00481D72"/>
    <w:pPr>
      <w:widowControl w:val="0"/>
      <w:tabs>
        <w:tab w:val="center" w:pos="4320"/>
        <w:tab w:val="right" w:pos="8640"/>
      </w:tabs>
    </w:pPr>
    <w:rPr>
      <w:rFonts w:cs="Times New Roman"/>
      <w:snapToGrid w:val="0"/>
      <w:szCs w:val="20"/>
      <w:lang w:val="x-none" w:eastAsia="x-none"/>
    </w:rPr>
  </w:style>
  <w:style w:type="character" w:customStyle="1" w:styleId="FooterChar">
    <w:name w:val="Footer Char"/>
    <w:link w:val="Footer"/>
    <w:rsid w:val="00481D72"/>
    <w:rPr>
      <w:rFonts w:ascii="Arial" w:eastAsia="Times New Roman" w:hAnsi="Arial" w:cs="Arial"/>
      <w:snapToGrid w:val="0"/>
      <w:sz w:val="24"/>
      <w:szCs w:val="20"/>
    </w:rPr>
  </w:style>
  <w:style w:type="character" w:styleId="PageNumber">
    <w:name w:val="page number"/>
    <w:basedOn w:val="DefaultParagraphFont"/>
    <w:rsid w:val="00481D72"/>
  </w:style>
  <w:style w:type="paragraph" w:styleId="EndnoteText">
    <w:name w:val="endnote text"/>
    <w:basedOn w:val="Normal"/>
    <w:link w:val="EndnoteTextChar"/>
    <w:semiHidden/>
    <w:rsid w:val="00481D72"/>
    <w:rPr>
      <w:rFonts w:cs="Times New Roman"/>
      <w:sz w:val="20"/>
      <w:szCs w:val="20"/>
      <w:lang w:val="x-none" w:eastAsia="x-none"/>
    </w:rPr>
  </w:style>
  <w:style w:type="character" w:customStyle="1" w:styleId="EndnoteTextChar">
    <w:name w:val="Endnote Text Char"/>
    <w:link w:val="EndnoteText"/>
    <w:semiHidden/>
    <w:rsid w:val="00481D72"/>
    <w:rPr>
      <w:rFonts w:ascii="Arial" w:eastAsia="Times New Roman" w:hAnsi="Arial" w:cs="Arial"/>
      <w:sz w:val="20"/>
      <w:szCs w:val="20"/>
    </w:rPr>
  </w:style>
  <w:style w:type="character" w:styleId="Hyperlink">
    <w:name w:val="Hyperlink"/>
    <w:rsid w:val="00481D72"/>
    <w:rPr>
      <w:color w:val="000099"/>
      <w:u w:val="single"/>
    </w:rPr>
  </w:style>
  <w:style w:type="character" w:styleId="Strong">
    <w:name w:val="Strong"/>
    <w:qFormat/>
    <w:rsid w:val="00481D72"/>
    <w:rPr>
      <w:b/>
      <w:bCs/>
    </w:rPr>
  </w:style>
  <w:style w:type="character" w:styleId="Emphasis">
    <w:name w:val="Emphasis"/>
    <w:qFormat/>
    <w:rsid w:val="00481D72"/>
    <w:rPr>
      <w:i/>
      <w:iCs/>
    </w:rPr>
  </w:style>
  <w:style w:type="paragraph" w:customStyle="1" w:styleId="DefaultChar">
    <w:name w:val="Default Char"/>
    <w:link w:val="DefaultCharChar"/>
    <w:rsid w:val="00481D72"/>
    <w:pPr>
      <w:autoSpaceDE w:val="0"/>
      <w:autoSpaceDN w:val="0"/>
      <w:adjustRightInd w:val="0"/>
    </w:pPr>
    <w:rPr>
      <w:rFonts w:ascii="Arial" w:eastAsia="Times New Roman" w:hAnsi="Arial" w:cs="Arial"/>
      <w:color w:val="000000"/>
      <w:sz w:val="24"/>
      <w:szCs w:val="24"/>
    </w:rPr>
  </w:style>
  <w:style w:type="paragraph" w:customStyle="1" w:styleId="Heading1TimesChar">
    <w:name w:val="Heading 1 Times Char"/>
    <w:basedOn w:val="Heading1"/>
    <w:next w:val="NormalIndent"/>
    <w:link w:val="Heading1TimesCharChar"/>
    <w:rsid w:val="00481D72"/>
    <w:pPr>
      <w:keepLines w:val="0"/>
      <w:numPr>
        <w:numId w:val="2"/>
      </w:numPr>
      <w:tabs>
        <w:tab w:val="num" w:pos="1080"/>
      </w:tabs>
      <w:spacing w:before="100" w:beforeAutospacing="1" w:after="120" w:line="274" w:lineRule="auto"/>
      <w:ind w:hanging="360"/>
    </w:pPr>
    <w:rPr>
      <w:caps/>
      <w:color w:val="auto"/>
      <w:kern w:val="32"/>
      <w:szCs w:val="32"/>
    </w:rPr>
  </w:style>
  <w:style w:type="paragraph" w:customStyle="1" w:styleId="Heading2TimesChar">
    <w:name w:val="Heading 2 Times Char"/>
    <w:basedOn w:val="Heading2"/>
    <w:link w:val="Heading2TimesCharChar"/>
    <w:rsid w:val="00481D72"/>
    <w:pPr>
      <w:keepLines w:val="0"/>
      <w:numPr>
        <w:ilvl w:val="1"/>
        <w:numId w:val="2"/>
      </w:numPr>
      <w:tabs>
        <w:tab w:val="left" w:pos="720"/>
        <w:tab w:val="num" w:pos="2160"/>
      </w:tabs>
      <w:spacing w:before="240" w:line="274" w:lineRule="auto"/>
      <w:ind w:left="360" w:hanging="360"/>
    </w:pPr>
    <w:rPr>
      <w:iCs/>
      <w:szCs w:val="28"/>
    </w:rPr>
  </w:style>
  <w:style w:type="paragraph" w:customStyle="1" w:styleId="Bulletlisting">
    <w:name w:val="Bullet (listing)"/>
    <w:basedOn w:val="Normal"/>
    <w:rsid w:val="00481D72"/>
    <w:pPr>
      <w:numPr>
        <w:numId w:val="1"/>
      </w:numPr>
    </w:pPr>
    <w:rPr>
      <w:rFonts w:ascii="Times New Roman" w:hAnsi="Times New Roman"/>
      <w:szCs w:val="22"/>
    </w:rPr>
  </w:style>
  <w:style w:type="character" w:customStyle="1" w:styleId="Heading2TimesCharChar">
    <w:name w:val="Heading 2 Times Char Char"/>
    <w:link w:val="Heading2TimesChar"/>
    <w:rsid w:val="00481D72"/>
    <w:rPr>
      <w:rFonts w:ascii="Arial" w:eastAsia="Times New Roman" w:hAnsi="Arial" w:cs="Arial"/>
      <w:b/>
      <w:bCs/>
      <w:iCs/>
      <w:sz w:val="24"/>
      <w:szCs w:val="28"/>
    </w:rPr>
  </w:style>
  <w:style w:type="character" w:customStyle="1" w:styleId="DefaultCharChar">
    <w:name w:val="Default Char Char"/>
    <w:link w:val="DefaultChar"/>
    <w:rsid w:val="00481D72"/>
    <w:rPr>
      <w:rFonts w:ascii="Arial" w:eastAsia="Times New Roman" w:hAnsi="Arial" w:cs="Arial"/>
      <w:color w:val="000000"/>
      <w:sz w:val="24"/>
      <w:szCs w:val="24"/>
      <w:lang w:val="en-US" w:eastAsia="en-US" w:bidi="ar-SA"/>
    </w:rPr>
  </w:style>
  <w:style w:type="character" w:customStyle="1" w:styleId="Heading1TimesCharChar">
    <w:name w:val="Heading 1 Times Char Char"/>
    <w:link w:val="Heading1TimesChar"/>
    <w:rsid w:val="00481D72"/>
    <w:rPr>
      <w:rFonts w:ascii="Arial" w:eastAsia="Times New Roman" w:hAnsi="Arial" w:cs="Arial"/>
      <w:b/>
      <w:bCs/>
      <w:caps/>
      <w:kern w:val="32"/>
      <w:sz w:val="24"/>
      <w:szCs w:val="32"/>
      <w:u w:val="single"/>
    </w:rPr>
  </w:style>
  <w:style w:type="paragraph" w:styleId="BodyTextIndent3">
    <w:name w:val="Body Text Indent 3"/>
    <w:basedOn w:val="Normal"/>
    <w:link w:val="BodyTextIndent3Char"/>
    <w:rsid w:val="00481D72"/>
    <w:pPr>
      <w:spacing w:after="120"/>
      <w:ind w:left="360"/>
    </w:pPr>
    <w:rPr>
      <w:rFonts w:ascii="Times New Roman" w:hAnsi="Times New Roman" w:cs="Times New Roman"/>
      <w:sz w:val="16"/>
      <w:szCs w:val="16"/>
      <w:lang w:val="x-none" w:eastAsia="x-none"/>
    </w:rPr>
  </w:style>
  <w:style w:type="character" w:customStyle="1" w:styleId="BodyTextIndent3Char">
    <w:name w:val="Body Text Indent 3 Char"/>
    <w:link w:val="BodyTextIndent3"/>
    <w:rsid w:val="00481D72"/>
    <w:rPr>
      <w:rFonts w:ascii="Times New Roman" w:eastAsia="Times New Roman" w:hAnsi="Times New Roman" w:cs="Times New Roman"/>
      <w:sz w:val="16"/>
      <w:szCs w:val="16"/>
    </w:rPr>
  </w:style>
  <w:style w:type="paragraph" w:customStyle="1" w:styleId="Default">
    <w:name w:val="Default"/>
    <w:rsid w:val="00481D72"/>
    <w:pPr>
      <w:autoSpaceDE w:val="0"/>
      <w:autoSpaceDN w:val="0"/>
      <w:adjustRightInd w:val="0"/>
    </w:pPr>
    <w:rPr>
      <w:rFonts w:ascii="Times New Roman" w:eastAsia="Times New Roman" w:hAnsi="Times New Roman"/>
      <w:color w:val="000000"/>
      <w:sz w:val="24"/>
      <w:szCs w:val="24"/>
    </w:rPr>
  </w:style>
  <w:style w:type="paragraph" w:styleId="Header">
    <w:name w:val="header"/>
    <w:basedOn w:val="Normal"/>
    <w:link w:val="HeaderChar"/>
    <w:uiPriority w:val="99"/>
    <w:unhideWhenUsed/>
    <w:rsid w:val="00481D72"/>
    <w:pPr>
      <w:tabs>
        <w:tab w:val="center" w:pos="4680"/>
        <w:tab w:val="right" w:pos="9360"/>
      </w:tabs>
    </w:pPr>
    <w:rPr>
      <w:rFonts w:cs="Times New Roman"/>
      <w:lang w:val="x-none" w:eastAsia="x-none"/>
    </w:rPr>
  </w:style>
  <w:style w:type="character" w:customStyle="1" w:styleId="HeaderChar">
    <w:name w:val="Header Char"/>
    <w:link w:val="Header"/>
    <w:uiPriority w:val="99"/>
    <w:rsid w:val="00481D72"/>
    <w:rPr>
      <w:rFonts w:ascii="Arial" w:eastAsia="Times New Roman" w:hAnsi="Arial" w:cs="Arial"/>
      <w:sz w:val="24"/>
      <w:szCs w:val="24"/>
    </w:rPr>
  </w:style>
  <w:style w:type="character" w:customStyle="1" w:styleId="Heading1Char">
    <w:name w:val="Heading 1 Char"/>
    <w:link w:val="Heading1"/>
    <w:uiPriority w:val="9"/>
    <w:rsid w:val="005A7BD2"/>
    <w:rPr>
      <w:rFonts w:ascii="Arial" w:eastAsia="Times New Roman" w:hAnsi="Arial" w:cs="Arial"/>
      <w:b/>
      <w:bCs/>
      <w:color w:val="000000" w:themeColor="text1"/>
      <w:sz w:val="24"/>
      <w:szCs w:val="24"/>
      <w:u w:val="single"/>
      <w:lang w:val="x-none" w:eastAsia="x-none"/>
    </w:rPr>
  </w:style>
  <w:style w:type="paragraph" w:styleId="NormalIndent">
    <w:name w:val="Normal Indent"/>
    <w:basedOn w:val="Normal"/>
    <w:uiPriority w:val="99"/>
    <w:semiHidden/>
    <w:unhideWhenUsed/>
    <w:rsid w:val="00481D72"/>
    <w:pPr>
      <w:ind w:left="720"/>
    </w:pPr>
  </w:style>
  <w:style w:type="character" w:customStyle="1" w:styleId="Heading2Char">
    <w:name w:val="Heading 2 Char"/>
    <w:link w:val="Heading2"/>
    <w:uiPriority w:val="9"/>
    <w:rsid w:val="00D04AC5"/>
    <w:rPr>
      <w:rFonts w:ascii="Arial" w:eastAsia="Times New Roman" w:hAnsi="Arial"/>
      <w:b/>
      <w:bCs/>
      <w:sz w:val="24"/>
      <w:szCs w:val="26"/>
      <w:lang w:val="x-none" w:eastAsia="x-none"/>
    </w:rPr>
  </w:style>
  <w:style w:type="character" w:styleId="FollowedHyperlink">
    <w:name w:val="FollowedHyperlink"/>
    <w:uiPriority w:val="99"/>
    <w:semiHidden/>
    <w:unhideWhenUsed/>
    <w:rsid w:val="00B92BF4"/>
    <w:rPr>
      <w:color w:val="800080"/>
      <w:u w:val="single"/>
    </w:rPr>
  </w:style>
  <w:style w:type="paragraph" w:styleId="BalloonText">
    <w:name w:val="Balloon Text"/>
    <w:basedOn w:val="Normal"/>
    <w:link w:val="BalloonTextChar"/>
    <w:uiPriority w:val="99"/>
    <w:semiHidden/>
    <w:unhideWhenUsed/>
    <w:rsid w:val="00B90560"/>
    <w:rPr>
      <w:rFonts w:ascii="Tahoma" w:hAnsi="Tahoma" w:cs="Times New Roman"/>
      <w:sz w:val="16"/>
      <w:szCs w:val="16"/>
      <w:lang w:val="x-none" w:eastAsia="x-none"/>
    </w:rPr>
  </w:style>
  <w:style w:type="character" w:customStyle="1" w:styleId="BalloonTextChar">
    <w:name w:val="Balloon Text Char"/>
    <w:link w:val="BalloonText"/>
    <w:uiPriority w:val="99"/>
    <w:semiHidden/>
    <w:rsid w:val="00B90560"/>
    <w:rPr>
      <w:rFonts w:ascii="Tahoma" w:eastAsia="Times New Roman" w:hAnsi="Tahoma" w:cs="Tahoma"/>
      <w:sz w:val="16"/>
      <w:szCs w:val="16"/>
    </w:rPr>
  </w:style>
  <w:style w:type="paragraph" w:styleId="ListParagraph">
    <w:name w:val="List Paragraph"/>
    <w:basedOn w:val="Normal"/>
    <w:uiPriority w:val="34"/>
    <w:qFormat/>
    <w:rsid w:val="00887142"/>
    <w:pPr>
      <w:ind w:left="720"/>
    </w:pPr>
  </w:style>
  <w:style w:type="character" w:styleId="CommentReference">
    <w:name w:val="annotation reference"/>
    <w:uiPriority w:val="99"/>
    <w:semiHidden/>
    <w:unhideWhenUsed/>
    <w:rsid w:val="00435920"/>
    <w:rPr>
      <w:sz w:val="16"/>
      <w:szCs w:val="16"/>
    </w:rPr>
  </w:style>
  <w:style w:type="paragraph" w:styleId="CommentText">
    <w:name w:val="annotation text"/>
    <w:basedOn w:val="Normal"/>
    <w:link w:val="CommentTextChar"/>
    <w:uiPriority w:val="99"/>
    <w:semiHidden/>
    <w:unhideWhenUsed/>
    <w:rsid w:val="00435920"/>
    <w:rPr>
      <w:rFonts w:cs="Times New Roman"/>
      <w:sz w:val="20"/>
      <w:szCs w:val="20"/>
      <w:lang w:val="x-none" w:eastAsia="x-none"/>
    </w:rPr>
  </w:style>
  <w:style w:type="character" w:customStyle="1" w:styleId="CommentTextChar">
    <w:name w:val="Comment Text Char"/>
    <w:link w:val="CommentText"/>
    <w:uiPriority w:val="99"/>
    <w:semiHidden/>
    <w:rsid w:val="00435920"/>
    <w:rPr>
      <w:rFonts w:ascii="Arial" w:eastAsia="Times New Roman" w:hAnsi="Arial" w:cs="Arial"/>
    </w:rPr>
  </w:style>
  <w:style w:type="paragraph" w:styleId="CommentSubject">
    <w:name w:val="annotation subject"/>
    <w:basedOn w:val="CommentText"/>
    <w:next w:val="CommentText"/>
    <w:link w:val="CommentSubjectChar"/>
    <w:uiPriority w:val="99"/>
    <w:semiHidden/>
    <w:unhideWhenUsed/>
    <w:rsid w:val="00435920"/>
    <w:rPr>
      <w:b/>
      <w:bCs/>
    </w:rPr>
  </w:style>
  <w:style w:type="character" w:customStyle="1" w:styleId="CommentSubjectChar">
    <w:name w:val="Comment Subject Char"/>
    <w:link w:val="CommentSubject"/>
    <w:uiPriority w:val="99"/>
    <w:semiHidden/>
    <w:rsid w:val="00435920"/>
    <w:rPr>
      <w:rFonts w:ascii="Arial" w:eastAsia="Times New Roman" w:hAnsi="Arial" w:cs="Arial"/>
      <w:b/>
      <w:bCs/>
    </w:rPr>
  </w:style>
  <w:style w:type="paragraph" w:styleId="Title">
    <w:name w:val="Title"/>
    <w:basedOn w:val="Normal"/>
    <w:next w:val="Normal"/>
    <w:link w:val="TitleChar"/>
    <w:uiPriority w:val="10"/>
    <w:qFormat/>
    <w:rsid w:val="005A7BD2"/>
    <w:pPr>
      <w:spacing w:after="300"/>
      <w:contextualSpacing/>
      <w:jc w:val="center"/>
    </w:pPr>
    <w:rPr>
      <w:rFonts w:eastAsiaTheme="majorEastAsia" w:cstheme="majorBidi"/>
      <w:b/>
      <w:i/>
      <w:spacing w:val="5"/>
      <w:kern w:val="28"/>
      <w:szCs w:val="52"/>
    </w:rPr>
  </w:style>
  <w:style w:type="character" w:customStyle="1" w:styleId="TitleChar">
    <w:name w:val="Title Char"/>
    <w:basedOn w:val="DefaultParagraphFont"/>
    <w:link w:val="Title"/>
    <w:uiPriority w:val="10"/>
    <w:rsid w:val="005A7BD2"/>
    <w:rPr>
      <w:rFonts w:ascii="Arial" w:eastAsiaTheme="majorEastAsia" w:hAnsi="Arial" w:cstheme="majorBidi"/>
      <w:b/>
      <w:i/>
      <w:spacing w:val="5"/>
      <w:kern w:val="28"/>
      <w:sz w:val="24"/>
      <w:szCs w:val="52"/>
    </w:rPr>
  </w:style>
  <w:style w:type="character" w:customStyle="1" w:styleId="Heading3Char">
    <w:name w:val="Heading 3 Char"/>
    <w:basedOn w:val="DefaultParagraphFont"/>
    <w:link w:val="Heading3"/>
    <w:uiPriority w:val="9"/>
    <w:rsid w:val="00B9563D"/>
    <w:rPr>
      <w:rFonts w:ascii="Arial" w:eastAsia="Times New Roman" w:hAnsi="Arial" w:cs="Arial"/>
      <w:b/>
      <w:bCs/>
      <w:color w:val="000000" w:themeColor="text1"/>
      <w:sz w:val="24"/>
      <w:szCs w:val="24"/>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02084">
      <w:bodyDiv w:val="1"/>
      <w:marLeft w:val="0"/>
      <w:marRight w:val="0"/>
      <w:marTop w:val="0"/>
      <w:marBottom w:val="0"/>
      <w:divBdr>
        <w:top w:val="none" w:sz="0" w:space="0" w:color="auto"/>
        <w:left w:val="none" w:sz="0" w:space="0" w:color="auto"/>
        <w:bottom w:val="none" w:sz="0" w:space="0" w:color="auto"/>
        <w:right w:val="none" w:sz="0" w:space="0" w:color="auto"/>
      </w:divBdr>
    </w:div>
    <w:div w:id="205156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www.ich.org/fileadmin/Public_Web_Site/ICH_Products/Guidelines/Efficacy/E6_R1/Step4/E6_R1__Guideline.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ia.nih.gov/sites/default/files/ae_saeprocessflow.doc" TargetMode="External"/><Relationship Id="rId17" Type="http://schemas.openxmlformats.org/officeDocument/2006/relationships/hyperlink" Target="http://www.accessdata.fda.gov/scripts/cdrh/cfdocs/cfcfr/CFRSearch.cfm?fr=312.32" TargetMode="External"/><Relationship Id="rId2" Type="http://schemas.openxmlformats.org/officeDocument/2006/relationships/numbering" Target="numbering.xml"/><Relationship Id="rId16" Type="http://schemas.openxmlformats.org/officeDocument/2006/relationships/hyperlink" Target="http://www.accessdata.fda.gov/scripts/cdrh/cfdocs/cfcfr/CFRSearch.cfm?fr=312.5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hrp@osophs.dhhs.gov" TargetMode="External"/><Relationship Id="rId5" Type="http://schemas.openxmlformats.org/officeDocument/2006/relationships/settings" Target="settings.xml"/><Relationship Id="rId15" Type="http://schemas.openxmlformats.org/officeDocument/2006/relationships/hyperlink" Target="http://www.hhs.gov/ohrp/policy/advevntguid.html" TargetMode="External"/><Relationship Id="rId10" Type="http://schemas.openxmlformats.org/officeDocument/2006/relationships/hyperlink" Target="http://www.nia.nih.gov/sites/default/files/adverseeventsform.doc"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hhs.gov/ohrp/policy/advevntguid.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8150D-36B2-49C7-9E00-A23BA8FA0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NIA Adverse Event and Serious Adverse Event Guidelines</vt:lpstr>
    </vt:vector>
  </TitlesOfParts>
  <Company>KAI, Inc.</Company>
  <LinksUpToDate>false</LinksUpToDate>
  <CharactersWithSpaces>18749</CharactersWithSpaces>
  <SharedDoc>false</SharedDoc>
  <HLinks>
    <vt:vector size="54" baseType="variant">
      <vt:variant>
        <vt:i4>917608</vt:i4>
      </vt:variant>
      <vt:variant>
        <vt:i4>24</vt:i4>
      </vt:variant>
      <vt:variant>
        <vt:i4>0</vt:i4>
      </vt:variant>
      <vt:variant>
        <vt:i4>5</vt:i4>
      </vt:variant>
      <vt:variant>
        <vt:lpwstr>http://www.ich.org/fileadmin/Public_Web_Site/ICH_Products/Guidelines/Efficacy/E6_R1/Step4/E6_R1__Guideline.pdf</vt:lpwstr>
      </vt:variant>
      <vt:variant>
        <vt:lpwstr/>
      </vt:variant>
      <vt:variant>
        <vt:i4>7798819</vt:i4>
      </vt:variant>
      <vt:variant>
        <vt:i4>21</vt:i4>
      </vt:variant>
      <vt:variant>
        <vt:i4>0</vt:i4>
      </vt:variant>
      <vt:variant>
        <vt:i4>5</vt:i4>
      </vt:variant>
      <vt:variant>
        <vt:lpwstr>http://www.accessdata.fda.gov/scripts/cdrh/cfdocs/cfcfr/CFRSearch.cfm?fr=312.32</vt:lpwstr>
      </vt:variant>
      <vt:variant>
        <vt:lpwstr/>
      </vt:variant>
      <vt:variant>
        <vt:i4>7405603</vt:i4>
      </vt:variant>
      <vt:variant>
        <vt:i4>18</vt:i4>
      </vt:variant>
      <vt:variant>
        <vt:i4>0</vt:i4>
      </vt:variant>
      <vt:variant>
        <vt:i4>5</vt:i4>
      </vt:variant>
      <vt:variant>
        <vt:lpwstr>http://www.accessdata.fda.gov/scripts/cdrh/cfdocs/cfcfr/CFRSearch.cfm?fr=312.50</vt:lpwstr>
      </vt:variant>
      <vt:variant>
        <vt:lpwstr/>
      </vt:variant>
      <vt:variant>
        <vt:i4>7143461</vt:i4>
      </vt:variant>
      <vt:variant>
        <vt:i4>15</vt:i4>
      </vt:variant>
      <vt:variant>
        <vt:i4>0</vt:i4>
      </vt:variant>
      <vt:variant>
        <vt:i4>5</vt:i4>
      </vt:variant>
      <vt:variant>
        <vt:lpwstr>http://www.hhs.gov/ohrp/policy/advevntguid.html</vt:lpwstr>
      </vt:variant>
      <vt:variant>
        <vt:lpwstr/>
      </vt:variant>
      <vt:variant>
        <vt:i4>7798798</vt:i4>
      </vt:variant>
      <vt:variant>
        <vt:i4>12</vt:i4>
      </vt:variant>
      <vt:variant>
        <vt:i4>0</vt:i4>
      </vt:variant>
      <vt:variant>
        <vt:i4>5</vt:i4>
      </vt:variant>
      <vt:variant>
        <vt:lpwstr>http://www.nia.nih.gov/sites/default/files/ae_saeprocessflow.doc</vt:lpwstr>
      </vt:variant>
      <vt:variant>
        <vt:lpwstr/>
      </vt:variant>
      <vt:variant>
        <vt:i4>131176</vt:i4>
      </vt:variant>
      <vt:variant>
        <vt:i4>9</vt:i4>
      </vt:variant>
      <vt:variant>
        <vt:i4>0</vt:i4>
      </vt:variant>
      <vt:variant>
        <vt:i4>5</vt:i4>
      </vt:variant>
      <vt:variant>
        <vt:lpwstr>mailto:ohrp@osophs.dhhs.gov</vt:lpwstr>
      </vt:variant>
      <vt:variant>
        <vt:lpwstr/>
      </vt:variant>
      <vt:variant>
        <vt:i4>2883603</vt:i4>
      </vt:variant>
      <vt:variant>
        <vt:i4>6</vt:i4>
      </vt:variant>
      <vt:variant>
        <vt:i4>0</vt:i4>
      </vt:variant>
      <vt:variant>
        <vt:i4>5</vt:i4>
      </vt:variant>
      <vt:variant>
        <vt:lpwstr>http://www.nia.nih.gov/sites/default/files/seriousadverseeventsform_0.doc</vt:lpwstr>
      </vt:variant>
      <vt:variant>
        <vt:lpwstr/>
      </vt:variant>
      <vt:variant>
        <vt:i4>5439492</vt:i4>
      </vt:variant>
      <vt:variant>
        <vt:i4>3</vt:i4>
      </vt:variant>
      <vt:variant>
        <vt:i4>0</vt:i4>
      </vt:variant>
      <vt:variant>
        <vt:i4>5</vt:i4>
      </vt:variant>
      <vt:variant>
        <vt:lpwstr>http://www.nia.nih.gov/sites/default/files/adverseeventsform.doc</vt:lpwstr>
      </vt:variant>
      <vt:variant>
        <vt:lpwstr/>
      </vt:variant>
      <vt:variant>
        <vt:i4>7143461</vt:i4>
      </vt:variant>
      <vt:variant>
        <vt:i4>0</vt:i4>
      </vt:variant>
      <vt:variant>
        <vt:i4>0</vt:i4>
      </vt:variant>
      <vt:variant>
        <vt:i4>5</vt:i4>
      </vt:variant>
      <vt:variant>
        <vt:lpwstr>http://www.hhs.gov/ohrp/policy/advevntguid.html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NIA Adverse Event and Serious Adverse Event Guidelines</dc:title>
  <dc:subject>NIA Adverse Event and Serious Adverse Event Guidelines</dc:subject>
  <dc:creator>National Institute on Aging</dc:creator>
  <cp:keywords>Adverse Event, Serious Adverse Event , AE, SAE, Guidelines</cp:keywords>
  <cp:lastModifiedBy>Susan Li</cp:lastModifiedBy>
  <cp:revision>13</cp:revision>
  <dcterms:created xsi:type="dcterms:W3CDTF">2014-02-25T18:52:00Z</dcterms:created>
  <dcterms:modified xsi:type="dcterms:W3CDTF">2014-03-25T16:54:00Z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pyright Status">
    <vt:lpwstr>Public Domain</vt:lpwstr>
  </property>
</Properties>
</file>