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1 - Buy Some Energy Gas (within Available Quanity) - 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188171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881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Case 2 - Buy Some Energy Electricity (within Available Quanity) -  Pass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57663" cy="115337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15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Case 3 - Buy Some Energy Oil (within Available Quanity) - Pass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42395" cy="11491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395" cy="114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Case 4 - Atempt to buy Some Energy Nuclear (within Available Quanity) Pass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199278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99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Case 5 - Buy all Available units of energy for an energy type - Pass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26601" cy="11858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601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Case 6 - Buy Some Energy (Exceeding the available Quanity) - Fail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44598" cy="10680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598" cy="106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Case 7 - Buy Some Energy (Add non-numerial char to unit text box) - Fail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Ideally when buy is selected a message should appear under the input field indicating the input format is incorrect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94374" cy="150640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374" cy="150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Case 8 - Buy Some Energy (Leave unit text box blank) - Fail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96324" cy="149456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324" cy="149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Case 9 - Buy Some Energy (Units 0) - Fail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Ideally you shouldn’t be able to purchase 0 unit, and when you try to a message should appear indicating its an invalid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111637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11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