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80"/>
        <w:jc w:val="center"/>
      </w:pPr>
      <w:r>
        <w:rPr>
          <w:rFonts w:ascii="Arial" w:cs="Arial" w:eastAsia="Arial" w:hAnsi="Arial"/>
          <w:b/>
          <w:bCs/>
          <w:color w:val="1E3A5F"/>
          <w:sz w:val="34"/>
          <w:szCs w:val="34"/>
        </w:rPr>
        <w:t xml:space="preserve">Valiant Direct Primary Care</w:t>
      </w:r>
    </w:p>
    <w:p>
      <w:pPr>
        <w:spacing w:after="80" w:before="80"/>
        <w:jc w:val="center"/>
      </w:pPr>
      <w:r>
        <w:rPr>
          <w:rFonts w:ascii="Arial" w:cs="Arial" w:eastAsia="Arial" w:hAnsi="Arial"/>
          <w:b/>
          <w:bCs/>
          <w:color w:val="1E3A5F"/>
          <w:sz w:val="48"/>
          <w:szCs w:val="48"/>
        </w:rPr>
        <w:t xml:space="preserve">HIPAA Workforce
Training Policy</w:t>
      </w:r>
    </w:p>
    <w:p>
      <w:pPr>
        <w:spacing w:after="280"/>
        <w:jc w:val="center"/>
      </w:pPr>
      <w:r>
        <w:rPr>
          <w:rFonts w:ascii="Arial" w:cs="Arial" w:eastAsia="Arial" w:hAnsi="Arial"/>
          <w:color w:val="64748B"/>
          <w:sz w:val="24"/>
          <w:szCs w:val="24"/>
        </w:rPr>
        <w:t xml:space="preserve">Administrative Safeguards — Security Awareness &amp; Training</w:t>
      </w:r>
    </w:p>
    <w:tbl>
      <w:tblPr>
        <w:tblW w:type="dxa" w:w="3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DC2626" w:sz="8"/>
              <w:left w:val="single" w:color="DC2626" w:sz="8"/>
              <w:bottom w:val="single" w:color="DC2626" w:sz="8"/>
              <w:right w:val="single" w:color="DC2626" w:sz="8"/>
            </w:tcBorders>
            <w:shd w:fill="FEE2E2" w:val="clear"/>
            <w:tcMar>
              <w:top w:type="dxa" w:w="120"/>
              <w:left w:type="dxa" w:w="240"/>
              <w:bottom w:type="dxa" w:w="120"/>
              <w:right w:type="dxa" w:w="240"/>
            </w:tcMar>
          </w:tcPr>
          <w:p>
            <w:pPr>
              <w:jc w:val="center"/>
            </w:pPr>
            <w:r>
              <w:rPr>
                <w:rFonts w:ascii="Arial" w:cs="Arial" w:eastAsia="Arial" w:hAnsi="Arial"/>
                <w:b/>
                <w:bCs/>
                <w:color w:val="DC2626"/>
                <w:sz w:val="22"/>
                <w:szCs w:val="22"/>
              </w:rPr>
              <w:t xml:space="preserve">CONFIDENTIAL — INTERNAL USE ONLY</w:t>
            </w:r>
          </w:p>
        </w:tc>
      </w:tr>
    </w:tbl>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Policy Number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POL-HIPAA-001</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Effective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2026</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Next Review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2027</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Document Owner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Privacy &amp; Security Officer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Approved By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Practice Administrator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Regulatory Basis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45 C.F.R. § 164.308 — HIPAA Security Rule (Administrative Safeguards)</w:t>
            </w:r>
          </w:p>
        </w:tc>
      </w:tr>
    </w:tbl>
    <w:p>
      <w:r>
        <w:br w:type="page"/>
      </w:r>
    </w:p>
    <w:p>
      <w:pPr>
        <w:pStyle w:val="Heading1"/>
        <w:pBdr>
          <w:bottom w:val="single" w:color="1E3A5F" w:sz="6" w:space="4"/>
        </w:pBdr>
        <w:spacing w:after="100" w:before="320"/>
      </w:pPr>
      <w:r>
        <w:rPr>
          <w:rFonts w:ascii="Arial" w:cs="Arial" w:eastAsia="Arial" w:hAnsi="Arial"/>
          <w:b/>
          <w:bCs/>
          <w:color w:val="1E3A5F"/>
          <w:sz w:val="28"/>
          <w:szCs w:val="28"/>
        </w:rPr>
        <w:t xml:space="preserve">1. Purpose</w:t>
      </w:r>
    </w:p>
    <w:p>
      <w:pPr>
        <w:spacing w:after="60" w:before="60"/>
      </w:pPr>
      <w:r>
        <w:rPr>
          <w:rFonts w:ascii="Arial" w:cs="Arial" w:eastAsia="Arial" w:hAnsi="Arial"/>
          <w:color w:val="334155"/>
          <w:sz w:val="22"/>
          <w:szCs w:val="22"/>
        </w:rPr>
        <w:t xml:space="preserve">This policy establishes mandatory HIPAA Privacy, Security, and Breach Notification training requirements for all workforce members of Valiant Direct Primary Care. Training ensures that every individual with access to electronic Protected Health Information (ePHI) understands their legal obligations and the consequences of non-compliance.</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2. Scope</w:t>
      </w:r>
    </w:p>
    <w:p>
      <w:pPr>
        <w:spacing w:after="60" w:before="60"/>
      </w:pPr>
      <w:r>
        <w:rPr>
          <w:rFonts w:ascii="Arial" w:cs="Arial" w:eastAsia="Arial" w:hAnsi="Arial"/>
          <w:color w:val="334155"/>
          <w:sz w:val="22"/>
          <w:szCs w:val="22"/>
        </w:rPr>
        <w:t xml:space="preserve">Applies to all workforce members who access, use, or disclose ePHI, including:</w:t>
      </w:r>
    </w:p>
    <w:p>
      <w:pPr>
        <w:pStyle w:val="ListParagraph"/>
        <w:numPr>
          <w:ilvl w:val="0"/>
          <w:numId w:val="2"/>
        </w:numPr>
        <w:spacing w:after="40" w:before="40"/>
      </w:pPr>
      <w:r>
        <w:rPr>
          <w:rFonts w:ascii="Arial" w:cs="Arial" w:eastAsia="Arial" w:hAnsi="Arial"/>
          <w:color w:val="334155"/>
          <w:sz w:val="22"/>
          <w:szCs w:val="22"/>
        </w:rPr>
        <w:t xml:space="preserve">Employed physicians, nurses, and clinical staff</w:t>
      </w:r>
    </w:p>
    <w:p>
      <w:pPr>
        <w:pStyle w:val="ListParagraph"/>
        <w:numPr>
          <w:ilvl w:val="0"/>
          <w:numId w:val="2"/>
        </w:numPr>
        <w:spacing w:after="40" w:before="40"/>
      </w:pPr>
      <w:r>
        <w:rPr>
          <w:rFonts w:ascii="Arial" w:cs="Arial" w:eastAsia="Arial" w:hAnsi="Arial"/>
          <w:color w:val="334155"/>
          <w:sz w:val="22"/>
          <w:szCs w:val="22"/>
        </w:rPr>
        <w:t xml:space="preserve">Administrative, billing, and front-desk staff</w:t>
      </w:r>
    </w:p>
    <w:p>
      <w:pPr>
        <w:pStyle w:val="ListParagraph"/>
        <w:numPr>
          <w:ilvl w:val="0"/>
          <w:numId w:val="2"/>
        </w:numPr>
        <w:spacing w:after="40" w:before="40"/>
      </w:pPr>
      <w:r>
        <w:rPr>
          <w:rFonts w:ascii="Arial" w:cs="Arial" w:eastAsia="Arial" w:hAnsi="Arial"/>
          <w:color w:val="334155"/>
          <w:sz w:val="22"/>
          <w:szCs w:val="22"/>
        </w:rPr>
        <w:t xml:space="preserve">Contractors and business associates with system access</w:t>
      </w:r>
    </w:p>
    <w:p>
      <w:pPr>
        <w:pStyle w:val="ListParagraph"/>
        <w:numPr>
          <w:ilvl w:val="0"/>
          <w:numId w:val="2"/>
        </w:numPr>
        <w:spacing w:after="40" w:before="40"/>
      </w:pPr>
      <w:r>
        <w:rPr>
          <w:rFonts w:ascii="Arial" w:cs="Arial" w:eastAsia="Arial" w:hAnsi="Arial"/>
          <w:color w:val="334155"/>
          <w:sz w:val="22"/>
          <w:szCs w:val="22"/>
        </w:rPr>
        <w:t xml:space="preserve">Temporary and per-diem personnel</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3. Policy Statement</w:t>
      </w:r>
    </w:p>
    <w:p>
      <w:pPr>
        <w:spacing w:after="60" w:before="60"/>
      </w:pPr>
      <w:r>
        <w:rPr>
          <w:rFonts w:ascii="Arial" w:cs="Arial" w:eastAsia="Arial" w:hAnsi="Arial"/>
          <w:color w:val="334155"/>
          <w:sz w:val="22"/>
          <w:szCs w:val="22"/>
        </w:rPr>
        <w:t xml:space="preserve">No workforce member may be granted access to systems containing ePHI until initial HIPAA training is completed. Annual refresher training is required for all workforce members to maintain access. Training completion must be documented and records retained for a minimum of six (6) years.</w:t>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4"/>
              <w:bottom w:val="single" w:color="93C5FD" w:sz="4"/>
              <w:right w:val="single" w:color="93C5FD" w:sz="4"/>
            </w:tcBorders>
            <w:shd w:fill="DBEAFE" w:val="clear"/>
            <w:tcMar>
              <w:top w:type="dxa" w:w="120"/>
              <w:left w:type="dxa" w:w="160"/>
              <w:bottom w:type="dxa" w:w="120"/>
              <w:right w:type="dxa" w:w="160"/>
            </w:tcMar>
          </w:tcPr>
          <w:p>
            <w:pPr>
              <w:spacing w:after="60" w:before="60"/>
            </w:pPr>
            <w:r>
              <w:rPr>
                <w:rFonts w:ascii="Arial" w:cs="Arial" w:eastAsia="Arial" w:hAnsi="Arial"/>
                <w:color w:val="334155"/>
                <w:sz w:val="22"/>
                <w:szCs w:val="22"/>
              </w:rPr>
              <w:t xml:space="preserve">Regulatory Basis: 45 C.F.R. § 164.308(a)(5) — Security Awareness and Training (Required).  45 C.F.R. § 164.530(b) — HIPAA Privacy Training (Required).</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4. Training Requirements</w:t>
      </w:r>
    </w:p>
    <w:p>
      <w:pPr>
        <w:pStyle w:val="Heading2"/>
        <w:spacing w:after="80" w:before="220"/>
      </w:pPr>
      <w:r>
        <w:rPr>
          <w:rFonts w:ascii="Arial" w:cs="Arial" w:eastAsia="Arial" w:hAnsi="Arial"/>
          <w:b/>
          <w:bCs/>
          <w:color w:val="334155"/>
          <w:sz w:val="24"/>
          <w:szCs w:val="24"/>
        </w:rPr>
        <w:t xml:space="preserve">4.1  Initial Training (Pre-Access)</w:t>
      </w:r>
    </w:p>
    <w:p>
      <w:pPr>
        <w:spacing w:after="60" w:before="60"/>
      </w:pPr>
      <w:r>
        <w:rPr>
          <w:rFonts w:ascii="Arial" w:cs="Arial" w:eastAsia="Arial" w:hAnsi="Arial"/>
          <w:color w:val="334155"/>
          <w:sz w:val="22"/>
          <w:szCs w:val="22"/>
        </w:rPr>
        <w:t xml:space="preserve">Must be completed before EMR/ePHI access is granted. Topics required:</w:t>
      </w:r>
    </w:p>
    <w:p>
      <w:pPr>
        <w:pStyle w:val="ListParagraph"/>
        <w:numPr>
          <w:ilvl w:val="0"/>
          <w:numId w:val="2"/>
        </w:numPr>
        <w:spacing w:after="40" w:before="40"/>
      </w:pPr>
      <w:r>
        <w:rPr>
          <w:rFonts w:ascii="Arial" w:cs="Arial" w:eastAsia="Arial" w:hAnsi="Arial"/>
          <w:color w:val="334155"/>
          <w:sz w:val="22"/>
          <w:szCs w:val="22"/>
        </w:rPr>
        <w:t xml:space="preserve">HIPAA Privacy Rule: patient rights, minimum necessary standard, permitted disclosures</w:t>
      </w:r>
    </w:p>
    <w:p>
      <w:pPr>
        <w:pStyle w:val="ListParagraph"/>
        <w:numPr>
          <w:ilvl w:val="0"/>
          <w:numId w:val="2"/>
        </w:numPr>
        <w:spacing w:after="40" w:before="40"/>
      </w:pPr>
      <w:r>
        <w:rPr>
          <w:rFonts w:ascii="Arial" w:cs="Arial" w:eastAsia="Arial" w:hAnsi="Arial"/>
          <w:color w:val="334155"/>
          <w:sz w:val="22"/>
          <w:szCs w:val="22"/>
        </w:rPr>
        <w:t xml:space="preserve">HIPAA Security Rule: technical safeguards, access controls, device and workstation security</w:t>
      </w:r>
    </w:p>
    <w:p>
      <w:pPr>
        <w:pStyle w:val="ListParagraph"/>
        <w:numPr>
          <w:ilvl w:val="0"/>
          <w:numId w:val="2"/>
        </w:numPr>
        <w:spacing w:after="40" w:before="40"/>
      </w:pPr>
      <w:r>
        <w:rPr>
          <w:rFonts w:ascii="Arial" w:cs="Arial" w:eastAsia="Arial" w:hAnsi="Arial"/>
          <w:color w:val="334155"/>
          <w:sz w:val="22"/>
          <w:szCs w:val="22"/>
        </w:rPr>
        <w:t xml:space="preserve">Breach Notification Rule: definition of breach, 60-day OCR notification requirement</w:t>
      </w:r>
    </w:p>
    <w:p>
      <w:pPr>
        <w:pStyle w:val="ListParagraph"/>
        <w:numPr>
          <w:ilvl w:val="0"/>
          <w:numId w:val="2"/>
        </w:numPr>
        <w:spacing w:after="40" w:before="40"/>
      </w:pPr>
      <w:r>
        <w:rPr>
          <w:rFonts w:ascii="Arial" w:cs="Arial" w:eastAsia="Arial" w:hAnsi="Arial"/>
          <w:color w:val="334155"/>
          <w:sz w:val="22"/>
          <w:szCs w:val="22"/>
        </w:rPr>
        <w:t xml:space="preserve">Practice policies: acceptable use, password requirements, incident reporting procedures</w:t>
      </w:r>
    </w:p>
    <w:p>
      <w:pPr>
        <w:pStyle w:val="ListParagraph"/>
        <w:numPr>
          <w:ilvl w:val="0"/>
          <w:numId w:val="2"/>
        </w:numPr>
        <w:spacing w:after="40" w:before="40"/>
      </w:pPr>
      <w:r>
        <w:rPr>
          <w:rFonts w:ascii="Arial" w:cs="Arial" w:eastAsia="Arial" w:hAnsi="Arial"/>
          <w:color w:val="334155"/>
          <w:sz w:val="22"/>
          <w:szCs w:val="22"/>
        </w:rPr>
        <w:t xml:space="preserve">Sanctions for non-compliance: disciplinary actions, civil and criminal penalties</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4.2  Annual Refresher Training</w:t>
      </w:r>
    </w:p>
    <w:p>
      <w:pPr>
        <w:spacing w:after="60" w:before="60"/>
      </w:pPr>
      <w:r>
        <w:rPr>
          <w:rFonts w:ascii="Arial" w:cs="Arial" w:eastAsia="Arial" w:hAnsi="Arial"/>
          <w:color w:val="334155"/>
          <w:sz w:val="22"/>
          <w:szCs w:val="22"/>
        </w:rPr>
        <w:t xml:space="preserve">Due within twelve (12) months of prior training completion. Must include:</w:t>
      </w:r>
    </w:p>
    <w:p>
      <w:pPr>
        <w:pStyle w:val="ListParagraph"/>
        <w:numPr>
          <w:ilvl w:val="0"/>
          <w:numId w:val="2"/>
        </w:numPr>
        <w:spacing w:after="40" w:before="40"/>
      </w:pPr>
      <w:r>
        <w:rPr>
          <w:rFonts w:ascii="Arial" w:cs="Arial" w:eastAsia="Arial" w:hAnsi="Arial"/>
          <w:color w:val="334155"/>
          <w:sz w:val="22"/>
          <w:szCs w:val="22"/>
        </w:rPr>
        <w:t xml:space="preserve">Summary of regulatory changes or OCR enforcement actions since last training</w:t>
      </w:r>
    </w:p>
    <w:p>
      <w:pPr>
        <w:pStyle w:val="ListParagraph"/>
        <w:numPr>
          <w:ilvl w:val="0"/>
          <w:numId w:val="2"/>
        </w:numPr>
        <w:spacing w:after="40" w:before="40"/>
      </w:pPr>
      <w:r>
        <w:rPr>
          <w:rFonts w:ascii="Arial" w:cs="Arial" w:eastAsia="Arial" w:hAnsi="Arial"/>
          <w:color w:val="334155"/>
          <w:sz w:val="22"/>
          <w:szCs w:val="22"/>
        </w:rPr>
        <w:t xml:space="preserve">Security awareness: phishing, social engineering, password hygiene</w:t>
      </w:r>
    </w:p>
    <w:p>
      <w:pPr>
        <w:pStyle w:val="ListParagraph"/>
        <w:numPr>
          <w:ilvl w:val="0"/>
          <w:numId w:val="2"/>
        </w:numPr>
        <w:spacing w:after="40" w:before="40"/>
      </w:pPr>
      <w:r>
        <w:rPr>
          <w:rFonts w:ascii="Arial" w:cs="Arial" w:eastAsia="Arial" w:hAnsi="Arial"/>
          <w:color w:val="334155"/>
          <w:sz w:val="22"/>
          <w:szCs w:val="22"/>
        </w:rPr>
        <w:t xml:space="preserve">Review of any policy or EMR system changes affecting ePHI handling</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4.3  Event-Triggered Re-Training</w:t>
      </w:r>
    </w:p>
    <w:p>
      <w:pPr>
        <w:spacing w:after="60" w:before="60"/>
      </w:pPr>
      <w:r>
        <w:rPr>
          <w:rFonts w:ascii="Arial" w:cs="Arial" w:eastAsia="Arial" w:hAnsi="Arial"/>
          <w:color w:val="334155"/>
          <w:sz w:val="22"/>
          <w:szCs w:val="22"/>
        </w:rPr>
        <w:t xml:space="preserve">Required within 30 days when any of the following occur:</w:t>
      </w:r>
    </w:p>
    <w:p>
      <w:pPr>
        <w:pStyle w:val="ListParagraph"/>
        <w:numPr>
          <w:ilvl w:val="0"/>
          <w:numId w:val="2"/>
        </w:numPr>
        <w:spacing w:after="40" w:before="40"/>
      </w:pPr>
      <w:r>
        <w:rPr>
          <w:rFonts w:ascii="Arial" w:cs="Arial" w:eastAsia="Arial" w:hAnsi="Arial"/>
          <w:color w:val="334155"/>
          <w:sz w:val="22"/>
          <w:szCs w:val="22"/>
        </w:rPr>
        <w:t xml:space="preserve">Workforce member is involved in a privacy/security incident or near-miss</w:t>
      </w:r>
    </w:p>
    <w:p>
      <w:pPr>
        <w:pStyle w:val="ListParagraph"/>
        <w:numPr>
          <w:ilvl w:val="0"/>
          <w:numId w:val="2"/>
        </w:numPr>
        <w:spacing w:after="40" w:before="40"/>
      </w:pPr>
      <w:r>
        <w:rPr>
          <w:rFonts w:ascii="Arial" w:cs="Arial" w:eastAsia="Arial" w:hAnsi="Arial"/>
          <w:color w:val="334155"/>
          <w:sz w:val="22"/>
          <w:szCs w:val="22"/>
        </w:rPr>
        <w:t xml:space="preserve">Significant policy or system change affecting ePHI access or disclosure</w:t>
      </w:r>
    </w:p>
    <w:p>
      <w:pPr>
        <w:pStyle w:val="ListParagraph"/>
        <w:numPr>
          <w:ilvl w:val="0"/>
          <w:numId w:val="2"/>
        </w:numPr>
        <w:spacing w:after="40" w:before="40"/>
      </w:pPr>
      <w:r>
        <w:rPr>
          <w:rFonts w:ascii="Arial" w:cs="Arial" w:eastAsia="Arial" w:hAnsi="Arial"/>
          <w:color w:val="334155"/>
          <w:sz w:val="22"/>
          <w:szCs w:val="22"/>
        </w:rPr>
        <w:t xml:space="preserve">Workforce member receives written disciplinary action for a HIPAA violation</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5. Delivery &amp; Documentation</w:t>
      </w:r>
    </w:p>
    <w:p>
      <w:pPr>
        <w:pStyle w:val="Heading2"/>
        <w:spacing w:after="80" w:before="220"/>
      </w:pPr>
      <w:r>
        <w:rPr>
          <w:rFonts w:ascii="Arial" w:cs="Arial" w:eastAsia="Arial" w:hAnsi="Arial"/>
          <w:b/>
          <w:bCs/>
          <w:color w:val="334155"/>
          <w:sz w:val="24"/>
          <w:szCs w:val="24"/>
        </w:rPr>
        <w:t xml:space="preserve">5.1  Acceptable Training Methods</w:t>
      </w:r>
    </w:p>
    <w:p>
      <w:pPr>
        <w:pStyle w:val="ListParagraph"/>
        <w:numPr>
          <w:ilvl w:val="0"/>
          <w:numId w:val="2"/>
        </w:numPr>
        <w:spacing w:after="40" w:before="40"/>
      </w:pPr>
      <w:r>
        <w:rPr>
          <w:rFonts w:ascii="Arial" w:cs="Arial" w:eastAsia="Arial" w:hAnsi="Arial"/>
          <w:color w:val="334155"/>
          <w:sz w:val="22"/>
          <w:szCs w:val="22"/>
        </w:rPr>
        <w:t xml:space="preserve">In-person sessions led by the Privacy/Security Officer</w:t>
      </w:r>
    </w:p>
    <w:p>
      <w:pPr>
        <w:pStyle w:val="ListParagraph"/>
        <w:numPr>
          <w:ilvl w:val="0"/>
          <w:numId w:val="2"/>
        </w:numPr>
        <w:spacing w:after="40" w:before="40"/>
      </w:pPr>
      <w:r>
        <w:rPr>
          <w:rFonts w:ascii="Arial" w:cs="Arial" w:eastAsia="Arial" w:hAnsi="Arial"/>
          <w:color w:val="334155"/>
          <w:sz w:val="22"/>
          <w:szCs w:val="22"/>
        </w:rPr>
        <w:t xml:space="preserve">Online modules from HHS-recognized vendors</w:t>
      </w:r>
    </w:p>
    <w:p>
      <w:pPr>
        <w:pStyle w:val="ListParagraph"/>
        <w:numPr>
          <w:ilvl w:val="0"/>
          <w:numId w:val="2"/>
        </w:numPr>
        <w:spacing w:after="40" w:before="40"/>
      </w:pPr>
      <w:r>
        <w:rPr>
          <w:rFonts w:ascii="Arial" w:cs="Arial" w:eastAsia="Arial" w:hAnsi="Arial"/>
          <w:color w:val="334155"/>
          <w:sz w:val="22"/>
          <w:szCs w:val="22"/>
        </w:rPr>
        <w:t xml:space="preserve">Documented self-study with written acknowledgment sign-off</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5.2  Required Training Records</w:t>
      </w:r>
    </w:p>
    <w:p>
      <w:pPr>
        <w:spacing w:after="60" w:before="60"/>
      </w:pPr>
      <w:r>
        <w:rPr>
          <w:rFonts w:ascii="Arial" w:cs="Arial" w:eastAsia="Arial" w:hAnsi="Arial"/>
          <w:color w:val="334155"/>
          <w:sz w:val="22"/>
          <w:szCs w:val="22"/>
        </w:rPr>
        <w:t xml:space="preserve">The Privacy/Security Officer must maintain records containing:</w:t>
      </w:r>
    </w:p>
    <w:p>
      <w:pPr>
        <w:pStyle w:val="ListParagraph"/>
        <w:numPr>
          <w:ilvl w:val="0"/>
          <w:numId w:val="2"/>
        </w:numPr>
        <w:spacing w:after="40" w:before="40"/>
      </w:pPr>
      <w:r>
        <w:rPr>
          <w:rFonts w:ascii="Arial" w:cs="Arial" w:eastAsia="Arial" w:hAnsi="Arial"/>
          <w:color w:val="334155"/>
          <w:sz w:val="22"/>
          <w:szCs w:val="22"/>
        </w:rPr>
        <w:t xml:space="preserve">Workforce member name, role, and employee ID</w:t>
      </w:r>
    </w:p>
    <w:p>
      <w:pPr>
        <w:pStyle w:val="ListParagraph"/>
        <w:numPr>
          <w:ilvl w:val="0"/>
          <w:numId w:val="2"/>
        </w:numPr>
        <w:spacing w:after="40" w:before="40"/>
      </w:pPr>
      <w:r>
        <w:rPr>
          <w:rFonts w:ascii="Arial" w:cs="Arial" w:eastAsia="Arial" w:hAnsi="Arial"/>
          <w:color w:val="334155"/>
          <w:sz w:val="22"/>
          <w:szCs w:val="22"/>
        </w:rPr>
        <w:t xml:space="preserve">Date training was completed and method of delivery</w:t>
      </w:r>
    </w:p>
    <w:p>
      <w:pPr>
        <w:pStyle w:val="ListParagraph"/>
        <w:numPr>
          <w:ilvl w:val="0"/>
          <w:numId w:val="2"/>
        </w:numPr>
        <w:spacing w:after="40" w:before="40"/>
      </w:pPr>
      <w:r>
        <w:rPr>
          <w:rFonts w:ascii="Arial" w:cs="Arial" w:eastAsia="Arial" w:hAnsi="Arial"/>
          <w:color w:val="334155"/>
          <w:sz w:val="22"/>
          <w:szCs w:val="22"/>
        </w:rPr>
        <w:t xml:space="preserve">Topics covered</w:t>
      </w:r>
    </w:p>
    <w:p>
      <w:pPr>
        <w:pStyle w:val="ListParagraph"/>
        <w:numPr>
          <w:ilvl w:val="0"/>
          <w:numId w:val="2"/>
        </w:numPr>
        <w:spacing w:after="40" w:before="40"/>
      </w:pPr>
      <w:r>
        <w:rPr>
          <w:rFonts w:ascii="Arial" w:cs="Arial" w:eastAsia="Arial" w:hAnsi="Arial"/>
          <w:color w:val="334155"/>
          <w:sz w:val="22"/>
          <w:szCs w:val="22"/>
        </w:rPr>
        <w:t xml:space="preserve">Signed acknowledgment confirming understanding</w:t>
      </w:r>
    </w:p>
    <w:p>
      <w:pPr>
        <w:spacing w:after="60" w:before="60"/>
      </w:pPr>
      <w:r>
        <w:rPr>
          <w:rFonts w:ascii="Arial" w:cs="Arial" w:eastAsia="Arial" w:hAnsi="Arial"/>
          <w:color w:val="334155"/>
          <w:sz w:val="22"/>
          <w:szCs w:val="22"/>
        </w:rPr>
        <w:t xml:space="preserve">Records retained for six (6) years and made available to HHS OCR on request.</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6.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Role</w:t>
            </w:r>
          </w:p>
        </w:tc>
        <w:tc>
          <w:tcPr>
            <w:tcW w:type="dxa" w:w="696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Responsibility</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Privacy/Security Officer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Develop curriculum; deliver training; maintain records; enforce deadlines</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Practice Administrator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Confirm training completion before approving system access for new hires</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Workforce Members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Complete all required training on time; sign acknowledgment forms</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EMR/IT Administrator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Withhold system credentials until training completion is confirmed</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7. Sanctions for Non-Compliance</w:t>
      </w:r>
    </w:p>
    <w:p>
      <w:pPr>
        <w:spacing w:after="60" w:before="60"/>
      </w:pPr>
      <w:r>
        <w:rPr>
          <w:rFonts w:ascii="Arial" w:cs="Arial" w:eastAsia="Arial" w:hAnsi="Arial"/>
          <w:color w:val="334155"/>
          <w:sz w:val="22"/>
          <w:szCs w:val="22"/>
        </w:rPr>
        <w:t xml:space="preserve">Workforce members who fail to complete required training by the stated deadline will have ePHI system access suspended pending completion. Repeated non-compliance is subject to progressive disciplinary action up to and including termination. HIPAA violations may result in civil or criminal penalties imposed by HHS OCR.</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8. Policy Review Schedule</w:t>
      </w:r>
    </w:p>
    <w:p>
      <w:pPr>
        <w:spacing w:after="60" w:before="60"/>
      </w:pPr>
      <w:r>
        <w:rPr>
          <w:rFonts w:ascii="Arial" w:cs="Arial" w:eastAsia="Arial" w:hAnsi="Arial"/>
          <w:color w:val="334155"/>
          <w:sz w:val="22"/>
          <w:szCs w:val="22"/>
        </w:rPr>
        <w:t xml:space="preserve">This policy is reviewed annually by the Privacy/Security Officer and updated to reflect changes in regulations, workforce composition, or identified training gaps. Revisions require Practice Administrator approval and must be communicated to all workforce members within 30 days.</w:t>
      </w:r>
    </w:p>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Privacy/Security Officer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Practice Administrator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 /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 — March 20,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pPr>
    <w:r>
      <w:rPr>
        <w:rFonts w:ascii="Arial" w:cs="Arial" w:eastAsia="Arial" w:hAnsi="Arial"/>
        <w:color w:val="64748B"/>
        <w:sz w:val="16"/>
        <w:szCs w:val="16"/>
      </w:rPr>
      <w:t xml:space="preserve">Internal Use Only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Arial" w:cs="Arial" w:eastAsia="Arial" w:hAnsi="Arial"/>
        <w:color w:val="64748B"/>
        <w:sz w:val="17"/>
        <w:szCs w:val="17"/>
      </w:rPr>
      <w:t xml:space="preserve">Valiant Direct Primary Care  |  HIPAA Workforce Training Policy</w:t>
    </w:r>
    <w:r>
      <w:rPr>
        <w:rFonts w:ascii="Arial" w:cs="Arial" w:eastAsia="Arial" w:hAnsi="Arial"/>
        <w:b/>
        <w:bCs/>
        <w:color w:val="DC2626"/>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2026-03-20T14:53:57.324Z</dcterms:created>
  <dcterms:modified xsi:type="dcterms:W3CDTF">2026-03-20T14:53:57.325Z</dcterms:modified>
</cp:coreProperties>
</file>

<file path=docProps/custom.xml><?xml version="1.0" encoding="utf-8"?>
<Properties xmlns="http://schemas.openxmlformats.org/officeDocument/2006/custom-properties" xmlns:vt="http://schemas.openxmlformats.org/officeDocument/2006/docPropsVTypes"/>
</file>