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Arial" w:cs="Arial" w:eastAsia="Arial" w:hAnsi="Arial"/>
          <w:color w:val="334155"/>
          <w:sz w:val="22"/>
          <w:szCs w:val="22"/>
        </w:rPr>
        <w:t xml:space="preserve"/>
      </w:r>
    </w:p>
    <w:p>
      <w:pPr>
        <w:spacing w:after="100" w:before="0"/>
      </w:pPr>
      <w:r>
        <w:rPr>
          <w:rFonts w:ascii="Arial" w:cs="Arial" w:eastAsia="Arial" w:hAnsi="Arial"/>
          <w:color w:val="334155"/>
          <w:sz w:val="22"/>
          <w:szCs w:val="22"/>
        </w:rPr>
        <w:t xml:space="preserve"/>
      </w:r>
    </w:p>
    <w:p>
      <w:pPr>
        <w:spacing w:after="100" w:before="0"/>
      </w:pPr>
      <w:r>
        <w:rPr>
          <w:rFonts w:ascii="Arial" w:cs="Arial" w:eastAsia="Arial" w:hAnsi="Arial"/>
          <w:color w:val="334155"/>
          <w:sz w:val="22"/>
          <w:szCs w:val="22"/>
        </w:rPr>
        <w:t xml:space="preserve"/>
      </w:r>
    </w:p>
    <w:p>
      <w:pPr>
        <w:spacing w:after="80"/>
        <w:jc w:val="center"/>
      </w:pPr>
      <w:r>
        <w:rPr>
          <w:rFonts w:ascii="Arial" w:cs="Arial" w:eastAsia="Arial" w:hAnsi="Arial"/>
          <w:b/>
          <w:bCs/>
          <w:color w:val="1E3A5F"/>
          <w:sz w:val="34"/>
          <w:szCs w:val="34"/>
        </w:rPr>
        <w:t xml:space="preserve">Valiant Direct Primary Care</w:t>
      </w:r>
    </w:p>
    <w:p>
      <w:pPr>
        <w:spacing w:after="80" w:before="80"/>
        <w:jc w:val="center"/>
      </w:pPr>
      <w:r>
        <w:rPr>
          <w:rFonts w:ascii="Arial" w:cs="Arial" w:eastAsia="Arial" w:hAnsi="Arial"/>
          <w:b/>
          <w:bCs/>
          <w:color w:val="1E3A5F"/>
          <w:sz w:val="48"/>
          <w:szCs w:val="48"/>
        </w:rPr>
        <w:t xml:space="preserve">Incident Response &amp;
Breach Notification Plan</w:t>
      </w:r>
    </w:p>
    <w:p>
      <w:pPr>
        <w:spacing w:after="280"/>
        <w:jc w:val="center"/>
      </w:pPr>
      <w:r>
        <w:rPr>
          <w:rFonts w:ascii="Arial" w:cs="Arial" w:eastAsia="Arial" w:hAnsi="Arial"/>
          <w:color w:val="64748B"/>
          <w:sz w:val="24"/>
          <w:szCs w:val="24"/>
        </w:rPr>
        <w:t xml:space="preserve">Administrative Safeguards — Security Incident Procedures</w:t>
      </w:r>
    </w:p>
    <w:tbl>
      <w:tblPr>
        <w:tblW w:type="dxa" w:w="36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single" w:color="DC2626" w:sz="8"/>
              <w:left w:val="single" w:color="DC2626" w:sz="8"/>
              <w:bottom w:val="single" w:color="DC2626" w:sz="8"/>
              <w:right w:val="single" w:color="DC2626" w:sz="8"/>
            </w:tcBorders>
            <w:shd w:fill="FEE2E2" w:val="clear"/>
            <w:tcMar>
              <w:top w:type="dxa" w:w="120"/>
              <w:left w:type="dxa" w:w="240"/>
              <w:bottom w:type="dxa" w:w="120"/>
              <w:right w:type="dxa" w:w="240"/>
            </w:tcMar>
          </w:tcPr>
          <w:p>
            <w:pPr>
              <w:jc w:val="center"/>
            </w:pPr>
            <w:r>
              <w:rPr>
                <w:rFonts w:ascii="Arial" w:cs="Arial" w:eastAsia="Arial" w:hAnsi="Arial"/>
                <w:b/>
                <w:bCs/>
                <w:color w:val="DC2626"/>
                <w:sz w:val="22"/>
                <w:szCs w:val="22"/>
              </w:rPr>
              <w:t xml:space="preserve">CONFIDENTIAL — INTERNAL USE ONLY</w:t>
            </w:r>
          </w:p>
        </w:tc>
      </w:tr>
    </w:tbl>
    <w:p>
      <w:pPr>
        <w:spacing w:after="100" w:before="0"/>
      </w:pPr>
      <w:r>
        <w:rPr>
          <w:rFonts w:ascii="Arial" w:cs="Arial" w:eastAsia="Arial" w:hAnsi="Arial"/>
          <w:color w:val="334155"/>
          <w:sz w:val="22"/>
          <w:szCs w:val="22"/>
        </w:rPr>
        <w:t xml:space="preserve"/>
      </w:r>
    </w:p>
    <w:p>
      <w:pPr>
        <w:spacing w:after="100" w:before="0"/>
      </w:pPr>
      <w:r>
        <w:rPr>
          <w:rFonts w:ascii="Arial" w:cs="Arial" w:eastAsia="Arial" w:hAnsi="Arial"/>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Policy Number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POL-HIPAA-002</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Version</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1.0</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Effective Date</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March 20, 2026</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Next Review Date</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March 20, 2027</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Document Owner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Privacy &amp; Security Officer</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Approved By</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Practice Administrator</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Regulatory Basis</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45 C.F.R. § 164.308 — HIPAA Security Rule (Administrative Safeguards)</w:t>
            </w:r>
          </w:p>
        </w:tc>
      </w:tr>
    </w:tbl>
    <w:p>
      <w:r>
        <w:br w:type="page"/>
      </w:r>
    </w:p>
    <w:p>
      <w:pPr>
        <w:pStyle w:val="Heading1"/>
        <w:pBdr>
          <w:bottom w:val="single" w:color="1E3A5F" w:sz="6" w:space="4"/>
        </w:pBdr>
        <w:spacing w:after="100" w:before="320"/>
      </w:pPr>
      <w:r>
        <w:rPr>
          <w:rFonts w:ascii="Arial" w:cs="Arial" w:eastAsia="Arial" w:hAnsi="Arial"/>
          <w:b/>
          <w:bCs/>
          <w:color w:val="1E3A5F"/>
          <w:sz w:val="28"/>
          <w:szCs w:val="28"/>
        </w:rPr>
        <w:t xml:space="preserve">1. Purpose</w:t>
      </w:r>
    </w:p>
    <w:p>
      <w:pPr>
        <w:spacing w:after="60" w:before="60"/>
      </w:pPr>
      <w:r>
        <w:rPr>
          <w:rFonts w:ascii="Arial" w:cs="Arial" w:eastAsia="Arial" w:hAnsi="Arial"/>
          <w:color w:val="334155"/>
          <w:sz w:val="22"/>
          <w:szCs w:val="22"/>
        </w:rPr>
        <w:t xml:space="preserve">This plan establishes procedures for identifying, containing, investigating, and reporting security incidents involving ePHI at Valiant Direct Primary Care. It satisfies the requirements of the HIPAA Security Rule (§ 164.308(a)(6)) and Breach Notification Rule (45 C.F.R. Part 164, Subpart D), ensuring that breaches of unsecured ePHI are reported to affected individuals, HHS, and, where required, the media within mandated timeframes.</w:t>
      </w:r>
    </w:p>
    <w:p>
      <w:pPr>
        <w:spacing w:after="100" w:before="0"/>
      </w:pPr>
      <w:r>
        <w:rPr>
          <w:rFonts w:ascii="Arial" w:cs="Arial" w:eastAsia="Arial" w:hAnsi="Arial"/>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4"/>
              <w:left w:val="single" w:color="93C5FD" w:sz="4"/>
              <w:bottom w:val="single" w:color="93C5FD" w:sz="4"/>
              <w:right w:val="single" w:color="93C5FD" w:sz="4"/>
            </w:tcBorders>
            <w:shd w:fill="DBEAFE" w:val="clear"/>
            <w:tcMar>
              <w:top w:type="dxa" w:w="120"/>
              <w:left w:type="dxa" w:w="160"/>
              <w:bottom w:type="dxa" w:w="120"/>
              <w:right w:type="dxa" w:w="160"/>
            </w:tcMar>
          </w:tcPr>
          <w:p>
            <w:pPr>
              <w:spacing w:after="60" w:before="60"/>
            </w:pPr>
            <w:r>
              <w:rPr>
                <w:rFonts w:ascii="Arial" w:cs="Arial" w:eastAsia="Arial" w:hAnsi="Arial"/>
                <w:color w:val="334155"/>
                <w:sz w:val="22"/>
                <w:szCs w:val="22"/>
              </w:rPr>
              <w:t xml:space="preserve">Regulatory Basis: 45 C.F.R. § 164.308(a)(6) — Security Incident Procedures (Required). 45 C.F.R. §§ 164.400–414 — Breach Notification Rule. 60-day deadline for notifying HHS and affected individuals following discovery of a breach.</w:t>
            </w:r>
          </w:p>
        </w:tc>
      </w:tr>
    </w:tbl>
    <w:p>
      <w:pPr>
        <w:spacing w:after="100" w:before="0"/>
      </w:pPr>
      <w:r>
        <w:rPr>
          <w:rFonts w:ascii="Arial" w:cs="Arial" w:eastAsia="Arial" w:hAnsi="Arial"/>
          <w:color w:val="334155"/>
          <w:sz w:val="22"/>
          <w:szCs w:val="22"/>
        </w:rPr>
        <w:t xml:space="preserve"/>
      </w:r>
    </w:p>
    <w:p>
      <w:pPr>
        <w:pStyle w:val="Heading1"/>
        <w:pBdr>
          <w:bottom w:val="single" w:color="1E3A5F" w:sz="6" w:space="4"/>
        </w:pBdr>
        <w:spacing w:after="100" w:before="320"/>
      </w:pPr>
      <w:r>
        <w:rPr>
          <w:rFonts w:ascii="Arial" w:cs="Arial" w:eastAsia="Arial" w:hAnsi="Arial"/>
          <w:b/>
          <w:bCs/>
          <w:color w:val="1E3A5F"/>
          <w:sz w:val="28"/>
          <w:szCs w:val="28"/>
        </w:rPr>
        <w:t xml:space="preserve">2. Scope</w:t>
      </w:r>
    </w:p>
    <w:p>
      <w:pPr>
        <w:spacing w:after="60" w:before="60"/>
      </w:pPr>
      <w:r>
        <w:rPr>
          <w:rFonts w:ascii="Arial" w:cs="Arial" w:eastAsia="Arial" w:hAnsi="Arial"/>
          <w:color w:val="334155"/>
          <w:sz w:val="22"/>
          <w:szCs w:val="22"/>
        </w:rPr>
        <w:t xml:space="preserve">Applies to all workforce members and covers all systems that store, transmit, or process ePHI including the MedFlow EMR, Railway cloud infrastructure, Telnyx fax services, LabCorp integrations, and Square payment processing.</w:t>
      </w:r>
    </w:p>
    <w:p>
      <w:pPr>
        <w:spacing w:after="100" w:before="0"/>
      </w:pPr>
      <w:r>
        <w:rPr>
          <w:rFonts w:ascii="Arial" w:cs="Arial" w:eastAsia="Arial" w:hAnsi="Arial"/>
          <w:color w:val="334155"/>
          <w:sz w:val="22"/>
          <w:szCs w:val="22"/>
        </w:rPr>
        <w:t xml:space="preserve"/>
      </w:r>
    </w:p>
    <w:p>
      <w:pPr>
        <w:pStyle w:val="Heading1"/>
        <w:pBdr>
          <w:bottom w:val="single" w:color="1E3A5F" w:sz="6" w:space="4"/>
        </w:pBdr>
        <w:spacing w:after="100" w:before="320"/>
      </w:pPr>
      <w:r>
        <w:rPr>
          <w:rFonts w:ascii="Arial" w:cs="Arial" w:eastAsia="Arial" w:hAnsi="Arial"/>
          <w:b/>
          <w:bCs/>
          <w:color w:val="1E3A5F"/>
          <w:sz w:val="28"/>
          <w:szCs w:val="28"/>
        </w:rPr>
        <w:t xml:space="preserve">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E3A5F" w:val="clear"/>
            <w:tcMar>
              <w:top w:type="dxa" w:w="80"/>
              <w:left w:type="dxa" w:w="130"/>
              <w:bottom w:type="dxa" w:w="80"/>
              <w:right w:type="dxa" w:w="130"/>
            </w:tcMar>
          </w:tcPr>
          <w:p>
            <w:r>
              <w:rPr>
                <w:rFonts w:ascii="Arial" w:cs="Arial" w:eastAsia="Arial" w:hAnsi="Arial"/>
                <w:b/>
                <w:bCs/>
                <w:color w:val="FFFFFF"/>
                <w:sz w:val="21"/>
                <w:szCs w:val="21"/>
              </w:rPr>
              <w:t xml:space="preserve">Term</w:t>
            </w:r>
          </w:p>
        </w:tc>
        <w:tc>
          <w:tcPr>
            <w:tcW w:type="dxa" w:w="7160"/>
            <w:tcBorders>
              <w:top w:val="single" w:color="CBD5E1" w:sz="4"/>
              <w:left w:val="single" w:color="CBD5E1" w:sz="4"/>
              <w:bottom w:val="single" w:color="CBD5E1" w:sz="4"/>
              <w:right w:val="single" w:color="CBD5E1" w:sz="4"/>
            </w:tcBorders>
            <w:shd w:fill="1E3A5F" w:val="clear"/>
            <w:tcMar>
              <w:top w:type="dxa" w:w="80"/>
              <w:left w:type="dxa" w:w="130"/>
              <w:bottom w:type="dxa" w:w="80"/>
              <w:right w:type="dxa" w:w="130"/>
            </w:tcMar>
          </w:tcPr>
          <w:p>
            <w:r>
              <w:rPr>
                <w:rFonts w:ascii="Arial" w:cs="Arial" w:eastAsia="Arial" w:hAnsi="Arial"/>
                <w:b/>
                <w:bCs/>
                <w:color w:val="FFFFFF"/>
                <w:sz w:val="21"/>
                <w:szCs w:val="21"/>
              </w:rPr>
              <w:t xml:space="preserve">Definition</w:t>
            </w:r>
          </w:p>
        </w:tc>
      </w:tr>
      <w:tr>
        <w:tc>
          <w:tcPr>
            <w:tcW w:type="dxa" w:w="22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Security Incident</w:t>
            </w:r>
          </w:p>
        </w:tc>
        <w:tc>
          <w:tcPr>
            <w:tcW w:type="dxa" w:w="71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Any attempted or successful unauthorized access, use, disclosure, modification, or destruction of ePHI or information systems</w:t>
            </w:r>
          </w:p>
        </w:tc>
      </w:tr>
      <w:tr>
        <w:tc>
          <w:tcPr>
            <w:tcW w:type="dxa" w:w="22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Breach</w:t>
            </w:r>
          </w:p>
        </w:tc>
        <w:tc>
          <w:tcPr>
            <w:tcW w:type="dxa" w:w="71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An impermissible use or disclosure of unsecured ePHI that compromises the security or privacy of that information, unless an exception applies</w:t>
            </w:r>
          </w:p>
        </w:tc>
      </w:tr>
      <w:tr>
        <w:tc>
          <w:tcPr>
            <w:tcW w:type="dxa" w:w="22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Unsecured ePHI</w:t>
            </w:r>
          </w:p>
        </w:tc>
        <w:tc>
          <w:tcPr>
            <w:tcW w:type="dxa" w:w="71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ePHI that is not rendered unusable, unreadable, or indecipherable to unauthorized persons through approved encryption or destruction methods</w:t>
            </w:r>
          </w:p>
        </w:tc>
      </w:tr>
      <w:tr>
        <w:tc>
          <w:tcPr>
            <w:tcW w:type="dxa" w:w="22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Discovery</w:t>
            </w:r>
          </w:p>
        </w:tc>
        <w:tc>
          <w:tcPr>
            <w:tcW w:type="dxa" w:w="71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The date a covered entity first knows, or reasonably should have known, of a breach</w:t>
            </w:r>
          </w:p>
        </w:tc>
      </w:tr>
    </w:tbl>
    <w:p>
      <w:pPr>
        <w:spacing w:after="100" w:before="0"/>
      </w:pPr>
      <w:r>
        <w:rPr>
          <w:rFonts w:ascii="Arial" w:cs="Arial" w:eastAsia="Arial" w:hAnsi="Arial"/>
          <w:color w:val="334155"/>
          <w:sz w:val="22"/>
          <w:szCs w:val="22"/>
        </w:rPr>
        <w:t xml:space="preserve"/>
      </w:r>
    </w:p>
    <w:p>
      <w:pPr>
        <w:pStyle w:val="Heading1"/>
        <w:pBdr>
          <w:bottom w:val="single" w:color="1E3A5F" w:sz="6" w:space="4"/>
        </w:pBdr>
        <w:spacing w:after="100" w:before="320"/>
      </w:pPr>
      <w:r>
        <w:rPr>
          <w:rFonts w:ascii="Arial" w:cs="Arial" w:eastAsia="Arial" w:hAnsi="Arial"/>
          <w:b/>
          <w:bCs/>
          <w:color w:val="1E3A5F"/>
          <w:sz w:val="28"/>
          <w:szCs w:val="28"/>
        </w:rPr>
        <w:t xml:space="preserve">4. Incident Response Phases</w:t>
      </w:r>
    </w:p>
    <w:p>
      <w:pPr>
        <w:pStyle w:val="Heading2"/>
        <w:spacing w:after="80" w:before="220"/>
      </w:pPr>
      <w:r>
        <w:rPr>
          <w:rFonts w:ascii="Arial" w:cs="Arial" w:eastAsia="Arial" w:hAnsi="Arial"/>
          <w:b/>
          <w:bCs/>
          <w:color w:val="334155"/>
          <w:sz w:val="24"/>
          <w:szCs w:val="24"/>
        </w:rPr>
        <w:t xml:space="preserve">Phase 1 — Detection &amp; Reporting (Immediate)</w:t>
      </w:r>
    </w:p>
    <w:p>
      <w:pPr>
        <w:pStyle w:val="ListParagraph"/>
        <w:numPr>
          <w:ilvl w:val="0"/>
          <w:numId w:val="2"/>
        </w:numPr>
        <w:spacing w:after="40" w:before="40"/>
      </w:pPr>
      <w:r>
        <w:rPr>
          <w:rFonts w:ascii="Arial" w:cs="Arial" w:eastAsia="Arial" w:hAnsi="Arial"/>
          <w:color w:val="334155"/>
          <w:sz w:val="22"/>
          <w:szCs w:val="22"/>
        </w:rPr>
        <w:t xml:space="preserve">Any workforce member who discovers or suspects a security incident must report it to the Privacy/Security Officer immediately (same business day).</w:t>
      </w:r>
    </w:p>
    <w:p>
      <w:pPr>
        <w:pStyle w:val="ListParagraph"/>
        <w:numPr>
          <w:ilvl w:val="0"/>
          <w:numId w:val="2"/>
        </w:numPr>
        <w:spacing w:after="40" w:before="40"/>
      </w:pPr>
      <w:r>
        <w:rPr>
          <w:rFonts w:ascii="Arial" w:cs="Arial" w:eastAsia="Arial" w:hAnsi="Arial"/>
          <w:color w:val="334155"/>
          <w:sz w:val="22"/>
          <w:szCs w:val="22"/>
        </w:rPr>
        <w:t xml:space="preserve">Reporting methods: direct verbal report, secure email, or written incident report form.</w:t>
      </w:r>
    </w:p>
    <w:p>
      <w:pPr>
        <w:pStyle w:val="ListParagraph"/>
        <w:numPr>
          <w:ilvl w:val="0"/>
          <w:numId w:val="2"/>
        </w:numPr>
        <w:spacing w:after="40" w:before="40"/>
      </w:pPr>
      <w:r>
        <w:rPr>
          <w:rFonts w:ascii="Arial" w:cs="Arial" w:eastAsia="Arial" w:hAnsi="Arial"/>
          <w:color w:val="334155"/>
          <w:sz w:val="22"/>
          <w:szCs w:val="22"/>
        </w:rPr>
        <w:t xml:space="preserve">Do not attempt to resolve the incident independently — report first.</w:t>
      </w:r>
    </w:p>
    <w:p>
      <w:pPr>
        <w:spacing w:after="100" w:before="0"/>
      </w:pPr>
      <w:r>
        <w:rPr>
          <w:rFonts w:ascii="Arial" w:cs="Arial" w:eastAsia="Arial" w:hAnsi="Arial"/>
          <w:color w:val="334155"/>
          <w:sz w:val="22"/>
          <w:szCs w:val="22"/>
        </w:rPr>
        <w:t xml:space="preserve"/>
      </w:r>
    </w:p>
    <w:p>
      <w:pPr>
        <w:pStyle w:val="Heading2"/>
        <w:spacing w:after="80" w:before="220"/>
      </w:pPr>
      <w:r>
        <w:rPr>
          <w:rFonts w:ascii="Arial" w:cs="Arial" w:eastAsia="Arial" w:hAnsi="Arial"/>
          <w:b/>
          <w:bCs/>
          <w:color w:val="334155"/>
          <w:sz w:val="24"/>
          <w:szCs w:val="24"/>
        </w:rPr>
        <w:t xml:space="preserve">Phase 2 — Containment (Within 24 Hours)</w:t>
      </w:r>
    </w:p>
    <w:p>
      <w:pPr>
        <w:pStyle w:val="ListParagraph"/>
        <w:numPr>
          <w:ilvl w:val="0"/>
          <w:numId w:val="3"/>
        </w:numPr>
        <w:spacing w:after="40" w:before="40"/>
      </w:pPr>
      <w:r>
        <w:rPr>
          <w:rFonts w:ascii="Arial" w:cs="Arial" w:eastAsia="Arial" w:hAnsi="Arial"/>
          <w:color w:val="334155"/>
          <w:sz w:val="22"/>
          <w:szCs w:val="22"/>
        </w:rPr>
        <w:t xml:space="preserve">Privacy/Security Officer assesses the incident and determines immediate containment actions.</w:t>
      </w:r>
    </w:p>
    <w:p>
      <w:pPr>
        <w:pStyle w:val="ListParagraph"/>
        <w:numPr>
          <w:ilvl w:val="0"/>
          <w:numId w:val="3"/>
        </w:numPr>
        <w:spacing w:after="40" w:before="40"/>
      </w:pPr>
      <w:r>
        <w:rPr>
          <w:rFonts w:ascii="Arial" w:cs="Arial" w:eastAsia="Arial" w:hAnsi="Arial"/>
          <w:color w:val="334155"/>
          <w:sz w:val="22"/>
          <w:szCs w:val="22"/>
        </w:rPr>
        <w:t xml:space="preserve">Actions may include: revoking compromised user credentials, isolating affected systems, disabling external access, preserving audit logs.</w:t>
      </w:r>
    </w:p>
    <w:p>
      <w:pPr>
        <w:pStyle w:val="ListParagraph"/>
        <w:numPr>
          <w:ilvl w:val="0"/>
          <w:numId w:val="3"/>
        </w:numPr>
        <w:spacing w:after="40" w:before="40"/>
      </w:pPr>
      <w:r>
        <w:rPr>
          <w:rFonts w:ascii="Arial" w:cs="Arial" w:eastAsia="Arial" w:hAnsi="Arial"/>
          <w:color w:val="334155"/>
          <w:sz w:val="22"/>
          <w:szCs w:val="22"/>
        </w:rPr>
        <w:t xml:space="preserve">Document all containment actions with timestamps.</w:t>
      </w:r>
    </w:p>
    <w:p>
      <w:pPr>
        <w:spacing w:after="100" w:before="0"/>
      </w:pPr>
      <w:r>
        <w:rPr>
          <w:rFonts w:ascii="Arial" w:cs="Arial" w:eastAsia="Arial" w:hAnsi="Arial"/>
          <w:color w:val="334155"/>
          <w:sz w:val="22"/>
          <w:szCs w:val="22"/>
        </w:rPr>
        <w:t xml:space="preserve"/>
      </w:r>
    </w:p>
    <w:p>
      <w:pPr>
        <w:pStyle w:val="Heading2"/>
        <w:spacing w:after="80" w:before="220"/>
      </w:pPr>
      <w:r>
        <w:rPr>
          <w:rFonts w:ascii="Arial" w:cs="Arial" w:eastAsia="Arial" w:hAnsi="Arial"/>
          <w:b/>
          <w:bCs/>
          <w:color w:val="334155"/>
          <w:sz w:val="24"/>
          <w:szCs w:val="24"/>
        </w:rPr>
        <w:t xml:space="preserve">Phase 3 — Investigation (Within 72 Hours)</w:t>
      </w:r>
    </w:p>
    <w:p>
      <w:pPr>
        <w:pStyle w:val="ListParagraph"/>
        <w:numPr>
          <w:ilvl w:val="0"/>
          <w:numId w:val="4"/>
        </w:numPr>
        <w:spacing w:after="40" w:before="40"/>
      </w:pPr>
      <w:r>
        <w:rPr>
          <w:rFonts w:ascii="Arial" w:cs="Arial" w:eastAsia="Arial" w:hAnsi="Arial"/>
          <w:color w:val="334155"/>
          <w:sz w:val="22"/>
          <w:szCs w:val="22"/>
        </w:rPr>
        <w:t xml:space="preserve">Conduct a thorough investigation to determine: what ePHI was involved, how many individuals were affected, the cause of the incident, and whether a breach occurred.</w:t>
      </w:r>
    </w:p>
    <w:p>
      <w:pPr>
        <w:pStyle w:val="ListParagraph"/>
        <w:numPr>
          <w:ilvl w:val="0"/>
          <w:numId w:val="4"/>
        </w:numPr>
        <w:spacing w:after="40" w:before="40"/>
      </w:pPr>
      <w:r>
        <w:rPr>
          <w:rFonts w:ascii="Arial" w:cs="Arial" w:eastAsia="Arial" w:hAnsi="Arial"/>
          <w:color w:val="334155"/>
          <w:sz w:val="22"/>
          <w:szCs w:val="22"/>
        </w:rPr>
        <w:t xml:space="preserve">Apply the four-factor risk assessment to determine if the incident constitutes a reportable breach:</w:t>
      </w:r>
    </w:p>
    <w:p>
      <w:pPr>
        <w:pStyle w:val="ListParagraph"/>
        <w:numPr>
          <w:ilvl w:val="0"/>
          <w:numId w:val="5"/>
        </w:numPr>
        <w:spacing w:after="40" w:before="40"/>
      </w:pPr>
      <w:r>
        <w:rPr>
          <w:rFonts w:ascii="Arial" w:cs="Arial" w:eastAsia="Arial" w:hAnsi="Arial"/>
          <w:color w:val="334155"/>
          <w:sz w:val="22"/>
          <w:szCs w:val="22"/>
        </w:rPr>
        <w:t xml:space="preserve">Nature and extent of the ePHI involved (type and amount)</w:t>
      </w:r>
    </w:p>
    <w:p>
      <w:pPr>
        <w:pStyle w:val="ListParagraph"/>
        <w:numPr>
          <w:ilvl w:val="0"/>
          <w:numId w:val="5"/>
        </w:numPr>
        <w:spacing w:after="40" w:before="40"/>
      </w:pPr>
      <w:r>
        <w:rPr>
          <w:rFonts w:ascii="Arial" w:cs="Arial" w:eastAsia="Arial" w:hAnsi="Arial"/>
          <w:color w:val="334155"/>
          <w:sz w:val="22"/>
          <w:szCs w:val="22"/>
        </w:rPr>
        <w:t xml:space="preserve">Identity of the unauthorized person who accessed the ePHI</w:t>
      </w:r>
    </w:p>
    <w:p>
      <w:pPr>
        <w:pStyle w:val="ListParagraph"/>
        <w:numPr>
          <w:ilvl w:val="0"/>
          <w:numId w:val="5"/>
        </w:numPr>
        <w:spacing w:after="40" w:before="40"/>
      </w:pPr>
      <w:r>
        <w:rPr>
          <w:rFonts w:ascii="Arial" w:cs="Arial" w:eastAsia="Arial" w:hAnsi="Arial"/>
          <w:color w:val="334155"/>
          <w:sz w:val="22"/>
          <w:szCs w:val="22"/>
        </w:rPr>
        <w:t xml:space="preserve">Whether the ePHI was actually acquired or viewed</w:t>
      </w:r>
    </w:p>
    <w:p>
      <w:pPr>
        <w:pStyle w:val="ListParagraph"/>
        <w:numPr>
          <w:ilvl w:val="0"/>
          <w:numId w:val="5"/>
        </w:numPr>
        <w:spacing w:after="40" w:before="40"/>
      </w:pPr>
      <w:r>
        <w:rPr>
          <w:rFonts w:ascii="Arial" w:cs="Arial" w:eastAsia="Arial" w:hAnsi="Arial"/>
          <w:color w:val="334155"/>
          <w:sz w:val="22"/>
          <w:szCs w:val="22"/>
        </w:rPr>
        <w:t xml:space="preserve">Extent to which the risk has been mitigated</w:t>
      </w:r>
    </w:p>
    <w:p>
      <w:pPr>
        <w:pStyle w:val="ListParagraph"/>
        <w:numPr>
          <w:ilvl w:val="0"/>
          <w:numId w:val="4"/>
        </w:numPr>
        <w:spacing w:after="40" w:before="40"/>
      </w:pPr>
      <w:r>
        <w:rPr>
          <w:rFonts w:ascii="Arial" w:cs="Arial" w:eastAsia="Arial" w:hAnsi="Arial"/>
          <w:color w:val="334155"/>
          <w:sz w:val="22"/>
          <w:szCs w:val="22"/>
        </w:rPr>
        <w:t xml:space="preserve">Document findings in the Incident Investigation Report.</w:t>
      </w:r>
    </w:p>
    <w:p>
      <w:pPr>
        <w:spacing w:after="100" w:before="0"/>
      </w:pPr>
      <w:r>
        <w:rPr>
          <w:rFonts w:ascii="Arial" w:cs="Arial" w:eastAsia="Arial" w:hAnsi="Arial"/>
          <w:color w:val="334155"/>
          <w:sz w:val="22"/>
          <w:szCs w:val="22"/>
        </w:rPr>
        <w:t xml:space="preserve"/>
      </w:r>
    </w:p>
    <w:p>
      <w:pPr>
        <w:pStyle w:val="Heading2"/>
        <w:spacing w:after="80" w:before="220"/>
      </w:pPr>
      <w:r>
        <w:rPr>
          <w:rFonts w:ascii="Arial" w:cs="Arial" w:eastAsia="Arial" w:hAnsi="Arial"/>
          <w:b/>
          <w:bCs/>
          <w:color w:val="334155"/>
          <w:sz w:val="24"/>
          <w:szCs w:val="24"/>
        </w:rPr>
        <w:t xml:space="preserve">Phase 4 — Notification (Within 60 Days of Discovery)</w:t>
      </w:r>
    </w:p>
    <w:p>
      <w:pPr>
        <w:spacing w:after="60" w:before="60"/>
      </w:pPr>
      <w:r>
        <w:rPr>
          <w:rFonts w:ascii="Arial" w:cs="Arial" w:eastAsia="Arial" w:hAnsi="Arial"/>
          <w:b/>
          <w:bCs/>
          <w:color w:val="1E293B"/>
          <w:sz w:val="22"/>
          <w:szCs w:val="22"/>
        </w:rPr>
        <w:t xml:space="preserve">Individual Notification: </w:t>
      </w:r>
      <w:r>
        <w:rPr>
          <w:rFonts w:ascii="Arial" w:cs="Arial" w:eastAsia="Arial" w:hAnsi="Arial"/>
          <w:color w:val="334155"/>
          <w:sz w:val="22"/>
          <w:szCs w:val="22"/>
        </w:rPr>
        <w:t xml:space="preserve">Written notice to each affected individual must be provided within 60 days of discovery. Notice must include: description of the breach, types of ePHI involved, steps individuals should take, steps the practice is taking, and contact information.</w:t>
      </w:r>
    </w:p>
    <w:p>
      <w:pPr>
        <w:spacing w:after="60" w:before="60"/>
      </w:pPr>
      <w:r>
        <w:rPr>
          <w:rFonts w:ascii="Arial" w:cs="Arial" w:eastAsia="Arial" w:hAnsi="Arial"/>
          <w:b/>
          <w:bCs/>
          <w:color w:val="1E293B"/>
          <w:sz w:val="22"/>
          <w:szCs w:val="22"/>
        </w:rPr>
        <w:t xml:space="preserve">HHS Notification: </w:t>
      </w:r>
      <w:r>
        <w:rPr>
          <w:rFonts w:ascii="Arial" w:cs="Arial" w:eastAsia="Arial" w:hAnsi="Arial"/>
          <w:color w:val="334155"/>
          <w:sz w:val="22"/>
          <w:szCs w:val="22"/>
        </w:rPr>
        <w:t xml:space="preserve">Breaches affecting fewer than 500 individuals must be reported to HHS annually via the HHS Breach Reporting Tool. Breaches affecting 500+ individuals in a state/jurisdiction require immediate HHS notification and media notice.</w:t>
      </w:r>
    </w:p>
    <w:p>
      <w:pPr>
        <w:spacing w:after="60" w:before="60"/>
      </w:pPr>
      <w:r>
        <w:rPr>
          <w:rFonts w:ascii="Arial" w:cs="Arial" w:eastAsia="Arial" w:hAnsi="Arial"/>
          <w:b/>
          <w:bCs/>
          <w:color w:val="1E293B"/>
          <w:sz w:val="22"/>
          <w:szCs w:val="22"/>
        </w:rPr>
        <w:t xml:space="preserve">Media Notification: </w:t>
      </w:r>
      <w:r>
        <w:rPr>
          <w:rFonts w:ascii="Arial" w:cs="Arial" w:eastAsia="Arial" w:hAnsi="Arial"/>
          <w:color w:val="334155"/>
          <w:sz w:val="22"/>
          <w:szCs w:val="22"/>
        </w:rPr>
        <w:t xml:space="preserve">Required only if a breach affects 500 or more residents of a state or jurisdiction.</w:t>
      </w:r>
    </w:p>
    <w:p>
      <w:pPr>
        <w:spacing w:after="100" w:before="0"/>
      </w:pPr>
      <w:r>
        <w:rPr>
          <w:rFonts w:ascii="Arial" w:cs="Arial" w:eastAsia="Arial" w:hAnsi="Arial"/>
          <w:color w:val="334155"/>
          <w:sz w:val="22"/>
          <w:szCs w:val="22"/>
        </w:rPr>
        <w:t xml:space="preserve"/>
      </w:r>
    </w:p>
    <w:p>
      <w:pPr>
        <w:pStyle w:val="Heading2"/>
        <w:spacing w:after="80" w:before="220"/>
      </w:pPr>
      <w:r>
        <w:rPr>
          <w:rFonts w:ascii="Arial" w:cs="Arial" w:eastAsia="Arial" w:hAnsi="Arial"/>
          <w:b/>
          <w:bCs/>
          <w:color w:val="334155"/>
          <w:sz w:val="24"/>
          <w:szCs w:val="24"/>
        </w:rPr>
        <w:t xml:space="preserve">Phase 5 — Remediation &amp; Post-Incident Review</w:t>
      </w:r>
    </w:p>
    <w:p>
      <w:pPr>
        <w:pStyle w:val="ListParagraph"/>
        <w:numPr>
          <w:ilvl w:val="0"/>
          <w:numId w:val="6"/>
        </w:numPr>
        <w:spacing w:after="40" w:before="40"/>
      </w:pPr>
      <w:r>
        <w:rPr>
          <w:rFonts w:ascii="Arial" w:cs="Arial" w:eastAsia="Arial" w:hAnsi="Arial"/>
          <w:color w:val="334155"/>
          <w:sz w:val="22"/>
          <w:szCs w:val="22"/>
        </w:rPr>
        <w:t xml:space="preserve">Implement corrective actions to prevent recurrence.</w:t>
      </w:r>
    </w:p>
    <w:p>
      <w:pPr>
        <w:pStyle w:val="ListParagraph"/>
        <w:numPr>
          <w:ilvl w:val="0"/>
          <w:numId w:val="6"/>
        </w:numPr>
        <w:spacing w:after="40" w:before="40"/>
      </w:pPr>
      <w:r>
        <w:rPr>
          <w:rFonts w:ascii="Arial" w:cs="Arial" w:eastAsia="Arial" w:hAnsi="Arial"/>
          <w:color w:val="334155"/>
          <w:sz w:val="22"/>
          <w:szCs w:val="22"/>
        </w:rPr>
        <w:t xml:space="preserve">Update policies, training, and technical controls as warranted.</w:t>
      </w:r>
    </w:p>
    <w:p>
      <w:pPr>
        <w:pStyle w:val="ListParagraph"/>
        <w:numPr>
          <w:ilvl w:val="0"/>
          <w:numId w:val="6"/>
        </w:numPr>
        <w:spacing w:after="40" w:before="40"/>
      </w:pPr>
      <w:r>
        <w:rPr>
          <w:rFonts w:ascii="Arial" w:cs="Arial" w:eastAsia="Arial" w:hAnsi="Arial"/>
          <w:color w:val="334155"/>
          <w:sz w:val="22"/>
          <w:szCs w:val="22"/>
        </w:rPr>
        <w:t xml:space="preserve">Conduct post-incident review within 30 days of resolution.</w:t>
      </w:r>
    </w:p>
    <w:p>
      <w:pPr>
        <w:pStyle w:val="ListParagraph"/>
        <w:numPr>
          <w:ilvl w:val="0"/>
          <w:numId w:val="6"/>
        </w:numPr>
        <w:spacing w:after="40" w:before="40"/>
      </w:pPr>
      <w:r>
        <w:rPr>
          <w:rFonts w:ascii="Arial" w:cs="Arial" w:eastAsia="Arial" w:hAnsi="Arial"/>
          <w:color w:val="334155"/>
          <w:sz w:val="22"/>
          <w:szCs w:val="22"/>
        </w:rPr>
        <w:t xml:space="preserve">Document all remediation actions and retain records for six (6) years.</w:t>
      </w:r>
    </w:p>
    <w:p>
      <w:pPr>
        <w:spacing w:after="100" w:before="0"/>
      </w:pPr>
      <w:r>
        <w:rPr>
          <w:rFonts w:ascii="Arial" w:cs="Arial" w:eastAsia="Arial" w:hAnsi="Arial"/>
          <w:color w:val="334155"/>
          <w:sz w:val="22"/>
          <w:szCs w:val="22"/>
        </w:rPr>
        <w:t xml:space="preserve"/>
      </w:r>
    </w:p>
    <w:p>
      <w:pPr>
        <w:pStyle w:val="Heading1"/>
        <w:pBdr>
          <w:bottom w:val="single" w:color="1E3A5F" w:sz="6" w:space="4"/>
        </w:pBdr>
        <w:spacing w:after="100" w:before="320"/>
      </w:pPr>
      <w:r>
        <w:rPr>
          <w:rFonts w:ascii="Arial" w:cs="Arial" w:eastAsia="Arial" w:hAnsi="Arial"/>
          <w:b/>
          <w:bCs/>
          <w:color w:val="1E3A5F"/>
          <w:sz w:val="28"/>
          <w:szCs w:val="28"/>
        </w:rPr>
        <w:t xml:space="preserve">5. Notification Templates</w:t>
      </w:r>
    </w:p>
    <w:p>
      <w:pPr>
        <w:pStyle w:val="Heading2"/>
        <w:spacing w:after="80" w:before="220"/>
      </w:pPr>
      <w:r>
        <w:rPr>
          <w:rFonts w:ascii="Arial" w:cs="Arial" w:eastAsia="Arial" w:hAnsi="Arial"/>
          <w:b/>
          <w:bCs/>
          <w:color w:val="334155"/>
          <w:sz w:val="24"/>
          <w:szCs w:val="24"/>
        </w:rPr>
        <w:t xml:space="preserve">5.1  Individual Breach Notification — Required Elements</w:t>
      </w:r>
    </w:p>
    <w:p>
      <w:pPr>
        <w:pStyle w:val="ListParagraph"/>
        <w:numPr>
          <w:ilvl w:val="0"/>
          <w:numId w:val="5"/>
        </w:numPr>
        <w:spacing w:after="40" w:before="40"/>
      </w:pPr>
      <w:r>
        <w:rPr>
          <w:rFonts w:ascii="Arial" w:cs="Arial" w:eastAsia="Arial" w:hAnsi="Arial"/>
          <w:color w:val="334155"/>
          <w:sz w:val="22"/>
          <w:szCs w:val="22"/>
        </w:rPr>
        <w:t xml:space="preserve">Brief description of what happened, including the date of breach and date of discovery</w:t>
      </w:r>
    </w:p>
    <w:p>
      <w:pPr>
        <w:pStyle w:val="ListParagraph"/>
        <w:numPr>
          <w:ilvl w:val="0"/>
          <w:numId w:val="5"/>
        </w:numPr>
        <w:spacing w:after="40" w:before="40"/>
      </w:pPr>
      <w:r>
        <w:rPr>
          <w:rFonts w:ascii="Arial" w:cs="Arial" w:eastAsia="Arial" w:hAnsi="Arial"/>
          <w:color w:val="334155"/>
          <w:sz w:val="22"/>
          <w:szCs w:val="22"/>
        </w:rPr>
        <w:t xml:space="preserve">Description of the types of unsecured ePHI involved (e.g., name, DOB, diagnosis)</w:t>
      </w:r>
    </w:p>
    <w:p>
      <w:pPr>
        <w:pStyle w:val="ListParagraph"/>
        <w:numPr>
          <w:ilvl w:val="0"/>
          <w:numId w:val="5"/>
        </w:numPr>
        <w:spacing w:after="40" w:before="40"/>
      </w:pPr>
      <w:r>
        <w:rPr>
          <w:rFonts w:ascii="Arial" w:cs="Arial" w:eastAsia="Arial" w:hAnsi="Arial"/>
          <w:color w:val="334155"/>
          <w:sz w:val="22"/>
          <w:szCs w:val="22"/>
        </w:rPr>
        <w:t xml:space="preserve">Any steps individuals should take to protect themselves from potential harm</w:t>
      </w:r>
    </w:p>
    <w:p>
      <w:pPr>
        <w:pStyle w:val="ListParagraph"/>
        <w:numPr>
          <w:ilvl w:val="0"/>
          <w:numId w:val="5"/>
        </w:numPr>
        <w:spacing w:after="40" w:before="40"/>
      </w:pPr>
      <w:r>
        <w:rPr>
          <w:rFonts w:ascii="Arial" w:cs="Arial" w:eastAsia="Arial" w:hAnsi="Arial"/>
          <w:color w:val="334155"/>
          <w:sz w:val="22"/>
          <w:szCs w:val="22"/>
        </w:rPr>
        <w:t xml:space="preserve">A brief description of what the practice is doing to investigate, mitigate harm, and prevent future breaches</w:t>
      </w:r>
    </w:p>
    <w:p>
      <w:pPr>
        <w:pStyle w:val="ListParagraph"/>
        <w:numPr>
          <w:ilvl w:val="0"/>
          <w:numId w:val="5"/>
        </w:numPr>
        <w:spacing w:after="40" w:before="40"/>
      </w:pPr>
      <w:r>
        <w:rPr>
          <w:rFonts w:ascii="Arial" w:cs="Arial" w:eastAsia="Arial" w:hAnsi="Arial"/>
          <w:color w:val="334155"/>
          <w:sz w:val="22"/>
          <w:szCs w:val="22"/>
        </w:rPr>
        <w:t xml:space="preserve">Contact procedures for individuals to ask questions (toll-free number, email, mailing address)</w:t>
      </w:r>
    </w:p>
    <w:p>
      <w:pPr>
        <w:spacing w:after="100" w:before="0"/>
      </w:pPr>
      <w:r>
        <w:rPr>
          <w:rFonts w:ascii="Arial" w:cs="Arial" w:eastAsia="Arial" w:hAnsi="Arial"/>
          <w:color w:val="334155"/>
          <w:sz w:val="22"/>
          <w:szCs w:val="22"/>
        </w:rPr>
        <w:t xml:space="preserve"/>
      </w:r>
    </w:p>
    <w:p>
      <w:pPr>
        <w:pStyle w:val="Heading1"/>
        <w:pBdr>
          <w:bottom w:val="single" w:color="1E3A5F" w:sz="6" w:space="4"/>
        </w:pBdr>
        <w:spacing w:after="100" w:before="320"/>
      </w:pPr>
      <w:r>
        <w:rPr>
          <w:rFonts w:ascii="Arial" w:cs="Arial" w:eastAsia="Arial" w:hAnsi="Arial"/>
          <w:b/>
          <w:bCs/>
          <w:color w:val="1E3A5F"/>
          <w:sz w:val="28"/>
          <w:szCs w:val="28"/>
        </w:rPr>
        <w:t xml:space="preserve">6. Documentation Requirements</w:t>
      </w:r>
    </w:p>
    <w:p>
      <w:pPr>
        <w:spacing w:after="60" w:before="60"/>
      </w:pPr>
      <w:r>
        <w:rPr>
          <w:rFonts w:ascii="Arial" w:cs="Arial" w:eastAsia="Arial" w:hAnsi="Arial"/>
          <w:color w:val="334155"/>
          <w:sz w:val="22"/>
          <w:szCs w:val="22"/>
        </w:rPr>
        <w:t xml:space="preserve">All incidents must be documented regardless of whether they rise to the level of a reportable breach. Documentation must include:</w:t>
      </w:r>
    </w:p>
    <w:p>
      <w:pPr>
        <w:pStyle w:val="ListParagraph"/>
        <w:numPr>
          <w:ilvl w:val="0"/>
          <w:numId w:val="5"/>
        </w:numPr>
        <w:spacing w:after="40" w:before="40"/>
      </w:pPr>
      <w:r>
        <w:rPr>
          <w:rFonts w:ascii="Arial" w:cs="Arial" w:eastAsia="Arial" w:hAnsi="Arial"/>
          <w:color w:val="334155"/>
          <w:sz w:val="22"/>
          <w:szCs w:val="22"/>
        </w:rPr>
        <w:t xml:space="preserve">Date and time of discovery</w:t>
      </w:r>
    </w:p>
    <w:p>
      <w:pPr>
        <w:pStyle w:val="ListParagraph"/>
        <w:numPr>
          <w:ilvl w:val="0"/>
          <w:numId w:val="5"/>
        </w:numPr>
        <w:spacing w:after="40" w:before="40"/>
      </w:pPr>
      <w:r>
        <w:rPr>
          <w:rFonts w:ascii="Arial" w:cs="Arial" w:eastAsia="Arial" w:hAnsi="Arial"/>
          <w:color w:val="334155"/>
          <w:sz w:val="22"/>
          <w:szCs w:val="22"/>
        </w:rPr>
        <w:t xml:space="preserve">Description of the incident and ePHI involved</w:t>
      </w:r>
    </w:p>
    <w:p>
      <w:pPr>
        <w:pStyle w:val="ListParagraph"/>
        <w:numPr>
          <w:ilvl w:val="0"/>
          <w:numId w:val="5"/>
        </w:numPr>
        <w:spacing w:after="40" w:before="40"/>
      </w:pPr>
      <w:r>
        <w:rPr>
          <w:rFonts w:ascii="Arial" w:cs="Arial" w:eastAsia="Arial" w:hAnsi="Arial"/>
          <w:color w:val="334155"/>
          <w:sz w:val="22"/>
          <w:szCs w:val="22"/>
        </w:rPr>
        <w:t xml:space="preserve">Risk assessment findings and breach determination</w:t>
      </w:r>
    </w:p>
    <w:p>
      <w:pPr>
        <w:pStyle w:val="ListParagraph"/>
        <w:numPr>
          <w:ilvl w:val="0"/>
          <w:numId w:val="5"/>
        </w:numPr>
        <w:spacing w:after="40" w:before="40"/>
      </w:pPr>
      <w:r>
        <w:rPr>
          <w:rFonts w:ascii="Arial" w:cs="Arial" w:eastAsia="Arial" w:hAnsi="Arial"/>
          <w:color w:val="334155"/>
          <w:sz w:val="22"/>
          <w:szCs w:val="22"/>
        </w:rPr>
        <w:t xml:space="preserve">All notification actions taken and dates</w:t>
      </w:r>
    </w:p>
    <w:p>
      <w:pPr>
        <w:pStyle w:val="ListParagraph"/>
        <w:numPr>
          <w:ilvl w:val="0"/>
          <w:numId w:val="5"/>
        </w:numPr>
        <w:spacing w:after="40" w:before="40"/>
      </w:pPr>
      <w:r>
        <w:rPr>
          <w:rFonts w:ascii="Arial" w:cs="Arial" w:eastAsia="Arial" w:hAnsi="Arial"/>
          <w:color w:val="334155"/>
          <w:sz w:val="22"/>
          <w:szCs w:val="22"/>
        </w:rPr>
        <w:t xml:space="preserve">Remediation actions and responsible parties</w:t>
      </w:r>
    </w:p>
    <w:p>
      <w:pPr>
        <w:spacing w:after="60" w:before="60"/>
      </w:pPr>
      <w:r>
        <w:rPr>
          <w:rFonts w:ascii="Arial" w:cs="Arial" w:eastAsia="Arial" w:hAnsi="Arial"/>
          <w:color w:val="334155"/>
          <w:sz w:val="22"/>
          <w:szCs w:val="22"/>
        </w:rPr>
        <w:t xml:space="preserve">All incident records retained for six (6) years from date of creation.</w:t>
      </w:r>
    </w:p>
    <w:p>
      <w:pPr>
        <w:spacing w:after="100" w:before="0"/>
      </w:pPr>
      <w:r>
        <w:rPr>
          <w:rFonts w:ascii="Arial" w:cs="Arial" w:eastAsia="Arial" w:hAnsi="Arial"/>
          <w:color w:val="334155"/>
          <w:sz w:val="22"/>
          <w:szCs w:val="22"/>
        </w:rPr>
        <w:t xml:space="preserve"/>
      </w:r>
    </w:p>
    <w:p>
      <w:pPr>
        <w:pStyle w:val="Heading1"/>
        <w:pBdr>
          <w:bottom w:val="single" w:color="1E3A5F" w:sz="6" w:space="4"/>
        </w:pBdr>
        <w:spacing w:after="100" w:before="320"/>
      </w:pPr>
      <w:r>
        <w:rPr>
          <w:rFonts w:ascii="Arial" w:cs="Arial" w:eastAsia="Arial" w:hAnsi="Arial"/>
          <w:b/>
          <w:bCs/>
          <w:color w:val="1E3A5F"/>
          <w:sz w:val="28"/>
          <w:szCs w:val="28"/>
        </w:rPr>
        <w:t xml:space="preserve">7. Key Contacts &amp;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Privacy/Security Officer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Primary incident coordinator — first point of contact</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Practice Administrator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Notified immediately for all potential breaches; approves notifications</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Legal Counsel</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Engaged for breaches affecting 500+ individuals or involving litigation risk</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HHS OCR Hotline</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1-800-368-1019 | www.hhs.gov/ocr/privacy/hipaa/complaints</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HHS Breach Portal</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ocrportal.hhs.gov — submit breach reports online</w:t>
            </w:r>
          </w:p>
        </w:tc>
      </w:tr>
    </w:tbl>
    <w:p>
      <w:pPr>
        <w:spacing w:after="100" w:before="0"/>
      </w:pPr>
      <w:r>
        <w:rPr>
          <w:rFonts w:ascii="Arial" w:cs="Arial" w:eastAsia="Arial" w:hAnsi="Arial"/>
          <w:color w:val="334155"/>
          <w:sz w:val="22"/>
          <w:szCs w:val="22"/>
        </w:rPr>
        <w:t xml:space="preserve"/>
      </w:r>
    </w:p>
    <w:p>
      <w:pPr>
        <w:spacing w:after="100" w:before="0"/>
      </w:pPr>
      <w:r>
        <w:rPr>
          <w:rFonts w:ascii="Arial" w:cs="Arial" w:eastAsia="Arial" w:hAnsi="Arial"/>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Privacy/Security Officer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_______________________________   Date: ___________</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Practice Administrator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_______________________________   Date: ___________</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Version / Date</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1.0 — March 20, 2026</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360"/>
      </w:tabs>
    </w:pPr>
    <w:r>
      <w:rPr>
        <w:rFonts w:ascii="Arial" w:cs="Arial" w:eastAsia="Arial" w:hAnsi="Arial"/>
        <w:color w:val="64748B"/>
        <w:sz w:val="16"/>
        <w:szCs w:val="16"/>
      </w:rPr>
      <w:t xml:space="preserve">Internal Use Only	</w:t>
    </w: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360"/>
      </w:tabs>
    </w:pPr>
    <w:r>
      <w:rPr>
        <w:rFonts w:ascii="Arial" w:cs="Arial" w:eastAsia="Arial" w:hAnsi="Arial"/>
        <w:color w:val="64748B"/>
        <w:sz w:val="17"/>
        <w:szCs w:val="17"/>
      </w:rPr>
      <w:t xml:space="preserve">Valiant Direct Primary Care  |  Incident Response &amp; Breach Notification Plan</w:t>
    </w:r>
    <w:r>
      <w:rPr>
        <w:rFonts w:ascii="Arial" w:cs="Arial" w:eastAsia="Arial" w:hAnsi="Arial"/>
        <w:b/>
        <w:bCs/>
        <w:color w:val="DC2626"/>
        <w:sz w:val="17"/>
        <w:szCs w:val="17"/>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220"/>
      <w:outlineLvl w:val="1"/>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2026-03-20T14:53:57.375Z</dcterms:created>
  <dcterms:modified xsi:type="dcterms:W3CDTF">2026-03-20T14:53:57.376Z</dcterms:modified>
</cp:coreProperties>
</file>

<file path=docProps/custom.xml><?xml version="1.0" encoding="utf-8"?>
<Properties xmlns="http://schemas.openxmlformats.org/officeDocument/2006/custom-properties" xmlns:vt="http://schemas.openxmlformats.org/officeDocument/2006/docPropsVTypes"/>
</file>