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p>
      <w:pPr>
        <w:spacing w:after="80"/>
        <w:jc w:val="center"/>
      </w:pPr>
      <w:r>
        <w:rPr>
          <w:rFonts w:ascii="Arial" w:cs="Arial" w:eastAsia="Arial" w:hAnsi="Arial"/>
          <w:b/>
          <w:bCs/>
          <w:color w:val="1E3A5F"/>
          <w:sz w:val="34"/>
          <w:szCs w:val="34"/>
        </w:rPr>
        <w:t xml:space="preserve">Valiant Direct Primary Care</w:t>
      </w:r>
    </w:p>
    <w:p>
      <w:pPr>
        <w:spacing w:after="80" w:before="80"/>
        <w:jc w:val="center"/>
      </w:pPr>
      <w:r>
        <w:rPr>
          <w:rFonts w:ascii="Arial" w:cs="Arial" w:eastAsia="Arial" w:hAnsi="Arial"/>
          <w:b/>
          <w:bCs/>
          <w:color w:val="1E3A5F"/>
          <w:sz w:val="48"/>
          <w:szCs w:val="48"/>
        </w:rPr>
        <w:t xml:space="preserve">User Access Management &amp;
Workforce Offboarding Policy</w:t>
      </w:r>
    </w:p>
    <w:p>
      <w:pPr>
        <w:spacing w:after="280"/>
        <w:jc w:val="center"/>
      </w:pPr>
      <w:r>
        <w:rPr>
          <w:rFonts w:ascii="Arial" w:cs="Arial" w:eastAsia="Arial" w:hAnsi="Arial"/>
          <w:color w:val="64748B"/>
          <w:sz w:val="24"/>
          <w:szCs w:val="24"/>
        </w:rPr>
        <w:t xml:space="preserve">Administrative Safeguards — Workforce Security &amp; Access Control</w:t>
      </w:r>
    </w:p>
    <w:tbl>
      <w:tblPr>
        <w:tblW w:type="dxa" w:w="3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tblGrid>
      <w:tr>
        <w:tc>
          <w:tcPr>
            <w:tcW w:type="dxa" w:w="3600"/>
            <w:tcBorders>
              <w:top w:val="single" w:color="DC2626" w:sz="8"/>
              <w:left w:val="single" w:color="DC2626" w:sz="8"/>
              <w:bottom w:val="single" w:color="DC2626" w:sz="8"/>
              <w:right w:val="single" w:color="DC2626" w:sz="8"/>
            </w:tcBorders>
            <w:shd w:fill="FEE2E2" w:val="clear"/>
            <w:tcMar>
              <w:top w:type="dxa" w:w="120"/>
              <w:left w:type="dxa" w:w="240"/>
              <w:bottom w:type="dxa" w:w="120"/>
              <w:right w:type="dxa" w:w="240"/>
            </w:tcMar>
          </w:tcPr>
          <w:p>
            <w:pPr>
              <w:jc w:val="center"/>
            </w:pPr>
            <w:r>
              <w:rPr>
                <w:rFonts w:ascii="Arial" w:cs="Arial" w:eastAsia="Arial" w:hAnsi="Arial"/>
                <w:b/>
                <w:bCs/>
                <w:color w:val="DC2626"/>
                <w:sz w:val="22"/>
                <w:szCs w:val="22"/>
              </w:rPr>
              <w:t xml:space="preserve">CONFIDENTIAL — INTERNAL USE ONLY</w:t>
            </w:r>
          </w:p>
        </w:tc>
      </w:tr>
    </w:tbl>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Policy Number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POL-HIPAA-003</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Effective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2026</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Next Review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March 20, 2027</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Document Owner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 &amp; Security Officer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Approved By</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Practice Administrator</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Regulatory Basis</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45 C.F.R. § 164.308 — HIPAA Security Rule (Administrative Safeguards)</w:t>
            </w:r>
          </w:p>
        </w:tc>
      </w:tr>
    </w:tbl>
    <w:p>
      <w:r>
        <w:br w:type="page"/>
      </w:r>
    </w:p>
    <w:p>
      <w:pPr>
        <w:pStyle w:val="Heading1"/>
        <w:pBdr>
          <w:bottom w:val="single" w:color="1E3A5F" w:sz="6" w:space="4"/>
        </w:pBdr>
        <w:spacing w:after="100" w:before="320"/>
      </w:pPr>
      <w:r>
        <w:rPr>
          <w:rFonts w:ascii="Arial" w:cs="Arial" w:eastAsia="Arial" w:hAnsi="Arial"/>
          <w:b/>
          <w:bCs/>
          <w:color w:val="1E3A5F"/>
          <w:sz w:val="28"/>
          <w:szCs w:val="28"/>
        </w:rPr>
        <w:t xml:space="preserve">1. Purpose</w:t>
      </w:r>
    </w:p>
    <w:p>
      <w:pPr>
        <w:spacing w:after="60" w:before="60"/>
      </w:pPr>
      <w:r>
        <w:rPr>
          <w:rFonts w:ascii="Arial" w:cs="Arial" w:eastAsia="Arial" w:hAnsi="Arial"/>
          <w:color w:val="334155"/>
          <w:sz w:val="22"/>
          <w:szCs w:val="22"/>
        </w:rPr>
        <w:t xml:space="preserve">This policy establishes procedures for granting, modifying, reviewing, and revoking access to systems containing ePHI. It ensures that access is limited to the minimum necessary for each workforce member's job function, that former employees' access is terminated promptly, and that access rights are reviewed on a regular schedule.</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3C5FD" w:sz="4"/>
              <w:left w:val="single" w:color="93C5FD" w:sz="4"/>
              <w:bottom w:val="single" w:color="93C5FD" w:sz="4"/>
              <w:right w:val="single" w:color="93C5FD" w:sz="4"/>
            </w:tcBorders>
            <w:shd w:fill="DBEAFE" w:val="clear"/>
            <w:tcMar>
              <w:top w:type="dxa" w:w="120"/>
              <w:left w:type="dxa" w:w="160"/>
              <w:bottom w:type="dxa" w:w="120"/>
              <w:right w:type="dxa" w:w="160"/>
            </w:tcMar>
          </w:tcPr>
          <w:p>
            <w:pPr>
              <w:spacing w:after="60" w:before="60"/>
            </w:pPr>
            <w:r>
              <w:rPr>
                <w:rFonts w:ascii="Arial" w:cs="Arial" w:eastAsia="Arial" w:hAnsi="Arial"/>
                <w:color w:val="334155"/>
                <w:sz w:val="22"/>
                <w:szCs w:val="22"/>
              </w:rPr>
              <w:t xml:space="preserve">Regulatory Basis: 45 C.F.R. § 164.308(a)(3) — Workforce Security (Required). 45 C.F.R. § 164.308(a)(4) — Information Access Management. 45 C.F.R. § 164.312(a)(2)(i) — Unique User Identification (Required).</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2. Scope</w:t>
      </w:r>
    </w:p>
    <w:p>
      <w:pPr>
        <w:spacing w:after="60" w:before="60"/>
      </w:pPr>
      <w:r>
        <w:rPr>
          <w:rFonts w:ascii="Arial" w:cs="Arial" w:eastAsia="Arial" w:hAnsi="Arial"/>
          <w:color w:val="334155"/>
          <w:sz w:val="22"/>
          <w:szCs w:val="22"/>
        </w:rPr>
        <w:t xml:space="preserve">Applies to all workforce members and any contractor or business associate who is granted access to the MedFlow EMR, Railway infrastructure, Telnyx fax systems, LabCorp API, or any other system containing ePHI.</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3. Access Provisioning</w:t>
      </w:r>
    </w:p>
    <w:p>
      <w:pPr>
        <w:pStyle w:val="Heading2"/>
        <w:spacing w:after="80" w:before="220"/>
      </w:pPr>
      <w:r>
        <w:rPr>
          <w:rFonts w:ascii="Arial" w:cs="Arial" w:eastAsia="Arial" w:hAnsi="Arial"/>
          <w:b/>
          <w:bCs/>
          <w:color w:val="334155"/>
          <w:sz w:val="24"/>
          <w:szCs w:val="24"/>
        </w:rPr>
        <w:t xml:space="preserve">3.1  New Hire Access Request</w:t>
      </w:r>
    </w:p>
    <w:p>
      <w:pPr>
        <w:pStyle w:val="ListParagraph"/>
        <w:numPr>
          <w:ilvl w:val="0"/>
          <w:numId w:val="2"/>
        </w:numPr>
        <w:spacing w:after="40" w:before="40"/>
      </w:pPr>
      <w:r>
        <w:rPr>
          <w:rFonts w:ascii="Arial" w:cs="Arial" w:eastAsia="Arial" w:hAnsi="Arial"/>
          <w:color w:val="334155"/>
          <w:sz w:val="22"/>
          <w:szCs w:val="22"/>
        </w:rPr>
        <w:t xml:space="preserve">Hiring manager submits an Access Request Form to the Privacy/Security Officer at least three (3) business days before the start date.</w:t>
      </w:r>
    </w:p>
    <w:p>
      <w:pPr>
        <w:pStyle w:val="ListParagraph"/>
        <w:numPr>
          <w:ilvl w:val="0"/>
          <w:numId w:val="2"/>
        </w:numPr>
        <w:spacing w:after="40" w:before="40"/>
      </w:pPr>
      <w:r>
        <w:rPr>
          <w:rFonts w:ascii="Arial" w:cs="Arial" w:eastAsia="Arial" w:hAnsi="Arial"/>
          <w:color w:val="334155"/>
          <w:sz w:val="22"/>
          <w:szCs w:val="22"/>
        </w:rPr>
        <w:t xml:space="preserve">Form must specify: role, job function, required system access level, supervisor name.</w:t>
      </w:r>
    </w:p>
    <w:p>
      <w:pPr>
        <w:pStyle w:val="ListParagraph"/>
        <w:numPr>
          <w:ilvl w:val="0"/>
          <w:numId w:val="2"/>
        </w:numPr>
        <w:spacing w:after="40" w:before="40"/>
      </w:pPr>
      <w:r>
        <w:rPr>
          <w:rFonts w:ascii="Arial" w:cs="Arial" w:eastAsia="Arial" w:hAnsi="Arial"/>
          <w:color w:val="334155"/>
          <w:sz w:val="22"/>
          <w:szCs w:val="22"/>
        </w:rPr>
        <w:t xml:space="preserve">Privacy/Security Officer approves access based on the minimum necessary principle.</w:t>
      </w:r>
    </w:p>
    <w:p>
      <w:pPr>
        <w:pStyle w:val="ListParagraph"/>
        <w:numPr>
          <w:ilvl w:val="0"/>
          <w:numId w:val="2"/>
        </w:numPr>
        <w:spacing w:after="40" w:before="40"/>
      </w:pPr>
      <w:r>
        <w:rPr>
          <w:rFonts w:ascii="Arial" w:cs="Arial" w:eastAsia="Arial" w:hAnsi="Arial"/>
          <w:color w:val="334155"/>
          <w:sz w:val="22"/>
          <w:szCs w:val="22"/>
        </w:rPr>
        <w:t xml:space="preserve">EMR/IT Administrator creates unique credentials. Shared accounts are prohibited.</w:t>
      </w:r>
    </w:p>
    <w:p>
      <w:pPr>
        <w:pStyle w:val="ListParagraph"/>
        <w:numPr>
          <w:ilvl w:val="0"/>
          <w:numId w:val="2"/>
        </w:numPr>
        <w:spacing w:after="40" w:before="40"/>
      </w:pPr>
      <w:r>
        <w:rPr>
          <w:rFonts w:ascii="Arial" w:cs="Arial" w:eastAsia="Arial" w:hAnsi="Arial"/>
          <w:color w:val="334155"/>
          <w:sz w:val="22"/>
          <w:szCs w:val="22"/>
        </w:rPr>
        <w:t xml:space="preserve">Access is granted only after HIPAA training is confirmed complete.</w:t>
      </w:r>
    </w:p>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3.2  Access Roles — MedFlow EMR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Role</w:t>
            </w:r>
          </w:p>
        </w:tc>
        <w:tc>
          <w:tcPr>
            <w:tcW w:type="dxa" w:w="18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Access Level</w:t>
            </w:r>
          </w:p>
        </w:tc>
        <w:tc>
          <w:tcPr>
            <w:tcW w:type="dxa" w:w="57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Permitted Actions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Admin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Full</w:t>
            </w:r>
          </w:p>
        </w:tc>
        <w:tc>
          <w:tcPr>
            <w:tcW w:type="dxa" w:w="5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All functions including user management, audit logs, billing settings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Physician</w:t>
            </w:r>
          </w:p>
        </w:tc>
        <w:tc>
          <w:tcPr>
            <w:tcW w:type="dxa" w:w="18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Clinical</w:t>
            </w:r>
          </w:p>
        </w:tc>
        <w:tc>
          <w:tcPr>
            <w:tcW w:type="dxa" w:w="5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Patient records, orders, notes, prescriptions, imaging — all patients</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Staff</w:t>
            </w:r>
          </w:p>
        </w:tc>
        <w:tc>
          <w:tcPr>
            <w:tcW w:type="dxa" w:w="18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Limited</w:t>
            </w:r>
          </w:p>
        </w:tc>
        <w:tc>
          <w:tcPr>
            <w:tcW w:type="dxa" w:w="57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Scheduling, patient demographics, messaging — no clinical notes or prescriptions</w:t>
            </w:r>
          </w:p>
        </w:tc>
      </w:tr>
    </w:tbl>
    <w:p>
      <w:pPr>
        <w:spacing w:after="100" w:before="0"/>
      </w:pPr>
      <w:r>
        <w:rPr>
          <w:rFonts w:ascii="Arial" w:cs="Arial" w:eastAsia="Arial" w:hAnsi="Arial"/>
          <w:color w:val="334155"/>
          <w:sz w:val="22"/>
          <w:szCs w:val="22"/>
        </w:rPr>
        <w:t xml:space="preserve"/>
      </w:r>
    </w:p>
    <w:p>
      <w:pPr>
        <w:pStyle w:val="Heading2"/>
        <w:spacing w:after="80" w:before="220"/>
      </w:pPr>
      <w:r>
        <w:rPr>
          <w:rFonts w:ascii="Arial" w:cs="Arial" w:eastAsia="Arial" w:hAnsi="Arial"/>
          <w:b/>
          <w:bCs/>
          <w:color w:val="334155"/>
          <w:sz w:val="24"/>
          <w:szCs w:val="24"/>
        </w:rPr>
        <w:t xml:space="preserve">3.3  Access Modification</w:t>
      </w:r>
    </w:p>
    <w:p>
      <w:pPr>
        <w:spacing w:after="60" w:before="60"/>
      </w:pPr>
      <w:r>
        <w:rPr>
          <w:rFonts w:ascii="Arial" w:cs="Arial" w:eastAsia="Arial" w:hAnsi="Arial"/>
          <w:color w:val="334155"/>
          <w:sz w:val="22"/>
          <w:szCs w:val="22"/>
        </w:rPr>
        <w:t xml:space="preserve">Any change in role, department, or responsibilities requiring different system access must be submitted via a new Access Request Form within five (5) business days of the change. The Privacy/Security Officer will approve modifications and the EMR administrator will implement them within one (1) business day.</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4. Workforce Offboarding Procedure</w:t>
      </w:r>
    </w:p>
    <w:p>
      <w:pPr>
        <w:spacing w:after="60" w:before="60"/>
      </w:pPr>
      <w:r>
        <w:rPr>
          <w:rFonts w:ascii="Arial" w:cs="Arial" w:eastAsia="Arial" w:hAnsi="Arial"/>
          <w:b/>
          <w:bCs/>
          <w:color w:val="1E293B"/>
          <w:sz w:val="22"/>
          <w:szCs w:val="22"/>
        </w:rPr>
        <w:t xml:space="preserve">CRITICAL: </w:t>
      </w:r>
      <w:r>
        <w:rPr>
          <w:rFonts w:ascii="Arial" w:cs="Arial" w:eastAsia="Arial" w:hAnsi="Arial"/>
          <w:color w:val="334155"/>
          <w:sz w:val="22"/>
          <w:szCs w:val="22"/>
        </w:rPr>
        <w:t xml:space="preserve">All ePHI system access must be revoked on or before the employee's last day. For involuntary terminations, access must be revoked at the time of notification.</w:t>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600"/>
        <w:gridCol w:w="4160"/>
      </w:tblGrid>
      <w:tr>
        <w:tc>
          <w:tcPr>
            <w:tcW w:type="dxa" w:w="10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Step</w:t>
            </w:r>
          </w:p>
        </w:tc>
        <w:tc>
          <w:tcPr>
            <w:tcW w:type="dxa" w:w="26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Action</w:t>
            </w:r>
          </w:p>
        </w:tc>
        <w:tc>
          <w:tcPr>
            <w:tcW w:type="dxa" w:w="160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Responsible</w:t>
            </w:r>
          </w:p>
        </w:tc>
        <w:tc>
          <w:tcPr>
            <w:tcW w:type="dxa" w:w="4160"/>
            <w:tcBorders>
              <w:top w:val="single" w:color="CBD5E1" w:sz="4"/>
              <w:left w:val="single" w:color="CBD5E1" w:sz="4"/>
              <w:bottom w:val="single" w:color="CBD5E1" w:sz="4"/>
              <w:right w:val="single" w:color="CBD5E1" w:sz="4"/>
            </w:tcBorders>
            <w:shd w:fill="1E3A5F" w:val="clear"/>
            <w:tcMar>
              <w:top w:type="dxa" w:w="80"/>
              <w:left w:type="dxa" w:w="130"/>
              <w:bottom w:type="dxa" w:w="80"/>
              <w:right w:type="dxa" w:w="130"/>
            </w:tcMar>
          </w:tcPr>
          <w:p>
            <w:r>
              <w:rPr>
                <w:rFonts w:ascii="Arial" w:cs="Arial" w:eastAsia="Arial" w:hAnsi="Arial"/>
                <w:b/>
                <w:bCs/>
                <w:color w:val="FFFFFF"/>
                <w:sz w:val="21"/>
                <w:szCs w:val="21"/>
              </w:rPr>
              <w:t xml:space="preserve">Deadline</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1</w:t>
            </w:r>
          </w:p>
        </w:tc>
        <w:tc>
          <w:tcPr>
            <w:tcW w:type="dxa" w:w="2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Notify Privacy/Security Officer and IT/EMR Admin of departure</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HR / Supervisor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Same day as notice</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2</w:t>
            </w:r>
          </w:p>
        </w:tc>
        <w:tc>
          <w:tcPr>
            <w:tcW w:type="dxa" w:w="2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Disable EMR account and revoke all system credentials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EMR Administrator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Last day of work (immediately for involuntary)</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3</w:t>
            </w:r>
          </w:p>
        </w:tc>
        <w:tc>
          <w:tcPr>
            <w:tcW w:type="dxa" w:w="2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Remove from shared email lists, communication channels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IT Administrator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Last day of work</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4</w:t>
            </w:r>
          </w:p>
        </w:tc>
        <w:tc>
          <w:tcPr>
            <w:tcW w:type="dxa" w:w="2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Change any shared passwords or access codes the employee may have known</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Privacy/Security Officer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Within 24 hours</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5</w:t>
            </w:r>
          </w:p>
        </w:tc>
        <w:tc>
          <w:tcPr>
            <w:tcW w:type="dxa" w:w="2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Retrieve all practice-owned devices, badges, and access cards</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HR / Supervisor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Last day of work</w:t>
            </w:r>
          </w:p>
        </w:tc>
      </w:tr>
      <w:tr>
        <w:tc>
          <w:tcPr>
            <w:tcW w:type="dxa" w:w="10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val="false"/>
                <w:bCs w:val="false"/>
                <w:color w:val="334155"/>
                <w:sz w:val="21"/>
                <w:szCs w:val="21"/>
              </w:rPr>
              <w:t xml:space="preserve">6</w:t>
            </w:r>
          </w:p>
        </w:tc>
        <w:tc>
          <w:tcPr>
            <w:tcW w:type="dxa" w:w="2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Document access revocation in the Access Termination Log</w:t>
            </w:r>
          </w:p>
        </w:tc>
        <w:tc>
          <w:tcPr>
            <w:tcW w:type="dxa" w:w="160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EMR Administrator</w:t>
            </w:r>
          </w:p>
        </w:tc>
        <w:tc>
          <w:tcPr>
            <w:tcW w:type="dxa" w:w="41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Within 24 hours</w:t>
            </w:r>
          </w:p>
        </w:tc>
      </w:tr>
    </w:tbl>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5. Quarterly Access Review</w:t>
      </w:r>
    </w:p>
    <w:p>
      <w:pPr>
        <w:pStyle w:val="ListParagraph"/>
        <w:numPr>
          <w:ilvl w:val="0"/>
          <w:numId w:val="3"/>
        </w:numPr>
        <w:spacing w:after="40" w:before="40"/>
      </w:pPr>
      <w:r>
        <w:rPr>
          <w:rFonts w:ascii="Arial" w:cs="Arial" w:eastAsia="Arial" w:hAnsi="Arial"/>
          <w:color w:val="334155"/>
          <w:sz w:val="22"/>
          <w:szCs w:val="22"/>
        </w:rPr>
        <w:t xml:space="preserve">The Privacy/Security Officer conducts a formal access review every quarter (January, April, July, October).</w:t>
      </w:r>
    </w:p>
    <w:p>
      <w:pPr>
        <w:pStyle w:val="ListParagraph"/>
        <w:numPr>
          <w:ilvl w:val="0"/>
          <w:numId w:val="3"/>
        </w:numPr>
        <w:spacing w:after="40" w:before="40"/>
      </w:pPr>
      <w:r>
        <w:rPr>
          <w:rFonts w:ascii="Arial" w:cs="Arial" w:eastAsia="Arial" w:hAnsi="Arial"/>
          <w:color w:val="334155"/>
          <w:sz w:val="22"/>
          <w:szCs w:val="22"/>
        </w:rPr>
        <w:t xml:space="preserve">Review includes: all active user accounts, current role/access level, last login date, appropriateness of access for current job function.</w:t>
      </w:r>
    </w:p>
    <w:p>
      <w:pPr>
        <w:pStyle w:val="ListParagraph"/>
        <w:numPr>
          <w:ilvl w:val="0"/>
          <w:numId w:val="3"/>
        </w:numPr>
        <w:spacing w:after="40" w:before="40"/>
      </w:pPr>
      <w:r>
        <w:rPr>
          <w:rFonts w:ascii="Arial" w:cs="Arial" w:eastAsia="Arial" w:hAnsi="Arial"/>
          <w:color w:val="334155"/>
          <w:sz w:val="22"/>
          <w:szCs w:val="22"/>
        </w:rPr>
        <w:t xml:space="preserve">Accounts inactive for more than 90 days are disabled pending investigation.</w:t>
      </w:r>
    </w:p>
    <w:p>
      <w:pPr>
        <w:pStyle w:val="ListParagraph"/>
        <w:numPr>
          <w:ilvl w:val="0"/>
          <w:numId w:val="3"/>
        </w:numPr>
        <w:spacing w:after="40" w:before="40"/>
      </w:pPr>
      <w:r>
        <w:rPr>
          <w:rFonts w:ascii="Arial" w:cs="Arial" w:eastAsia="Arial" w:hAnsi="Arial"/>
          <w:color w:val="334155"/>
          <w:sz w:val="22"/>
          <w:szCs w:val="22"/>
        </w:rPr>
        <w:t xml:space="preserve">Accounts with excessive privileges beyond the minimum necessary standard are adjusted.</w:t>
      </w:r>
    </w:p>
    <w:p>
      <w:pPr>
        <w:pStyle w:val="ListParagraph"/>
        <w:numPr>
          <w:ilvl w:val="0"/>
          <w:numId w:val="3"/>
        </w:numPr>
        <w:spacing w:after="40" w:before="40"/>
      </w:pPr>
      <w:r>
        <w:rPr>
          <w:rFonts w:ascii="Arial" w:cs="Arial" w:eastAsia="Arial" w:hAnsi="Arial"/>
          <w:color w:val="334155"/>
          <w:sz w:val="22"/>
          <w:szCs w:val="22"/>
        </w:rPr>
        <w:t xml:space="preserve">Results of each review are documented and retained for six (6) years.</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6. Password and Credential Standards</w:t>
      </w:r>
    </w:p>
    <w:p>
      <w:pPr>
        <w:pStyle w:val="ListParagraph"/>
        <w:numPr>
          <w:ilvl w:val="0"/>
          <w:numId w:val="4"/>
        </w:numPr>
        <w:spacing w:after="40" w:before="40"/>
      </w:pPr>
      <w:r>
        <w:rPr>
          <w:rFonts w:ascii="Arial" w:cs="Arial" w:eastAsia="Arial" w:hAnsi="Arial"/>
          <w:color w:val="334155"/>
          <w:sz w:val="22"/>
          <w:szCs w:val="22"/>
        </w:rPr>
        <w:t xml:space="preserve">Minimum 12 characters; must include uppercase, lowercase, number, and special character</w:t>
      </w:r>
    </w:p>
    <w:p>
      <w:pPr>
        <w:pStyle w:val="ListParagraph"/>
        <w:numPr>
          <w:ilvl w:val="0"/>
          <w:numId w:val="4"/>
        </w:numPr>
        <w:spacing w:after="40" w:before="40"/>
      </w:pPr>
      <w:r>
        <w:rPr>
          <w:rFonts w:ascii="Arial" w:cs="Arial" w:eastAsia="Arial" w:hAnsi="Arial"/>
          <w:color w:val="334155"/>
          <w:sz w:val="22"/>
          <w:szCs w:val="22"/>
        </w:rPr>
        <w:t xml:space="preserve">Passwords must not be shared between workforce members</w:t>
      </w:r>
    </w:p>
    <w:p>
      <w:pPr>
        <w:pStyle w:val="ListParagraph"/>
        <w:numPr>
          <w:ilvl w:val="0"/>
          <w:numId w:val="4"/>
        </w:numPr>
        <w:spacing w:after="40" w:before="40"/>
      </w:pPr>
      <w:r>
        <w:rPr>
          <w:rFonts w:ascii="Arial" w:cs="Arial" w:eastAsia="Arial" w:hAnsi="Arial"/>
          <w:color w:val="334155"/>
          <w:sz w:val="22"/>
          <w:szCs w:val="22"/>
        </w:rPr>
        <w:t xml:space="preserve">Temporary passwords issued by IT must be changed on first login</w:t>
      </w:r>
    </w:p>
    <w:p>
      <w:pPr>
        <w:pStyle w:val="ListParagraph"/>
        <w:numPr>
          <w:ilvl w:val="0"/>
          <w:numId w:val="4"/>
        </w:numPr>
        <w:spacing w:after="40" w:before="40"/>
      </w:pPr>
      <w:r>
        <w:rPr>
          <w:rFonts w:ascii="Arial" w:cs="Arial" w:eastAsia="Arial" w:hAnsi="Arial"/>
          <w:color w:val="334155"/>
          <w:sz w:val="22"/>
          <w:szCs w:val="22"/>
        </w:rPr>
        <w:t xml:space="preserve">Multi-factor authentication (TOTP) is required for all staff logins</w:t>
      </w:r>
    </w:p>
    <w:p>
      <w:pPr>
        <w:pStyle w:val="ListParagraph"/>
        <w:numPr>
          <w:ilvl w:val="0"/>
          <w:numId w:val="4"/>
        </w:numPr>
        <w:spacing w:after="40" w:before="40"/>
      </w:pPr>
      <w:r>
        <w:rPr>
          <w:rFonts w:ascii="Arial" w:cs="Arial" w:eastAsia="Arial" w:hAnsi="Arial"/>
          <w:color w:val="334155"/>
          <w:sz w:val="22"/>
          <w:szCs w:val="22"/>
        </w:rPr>
        <w:t xml:space="preserve">Passwords must be changed immediately upon suspected compromise</w:t>
      </w:r>
    </w:p>
    <w:p>
      <w:pPr>
        <w:spacing w:after="100" w:before="0"/>
      </w:pPr>
      <w:r>
        <w:rPr>
          <w:rFonts w:ascii="Arial" w:cs="Arial" w:eastAsia="Arial" w:hAnsi="Arial"/>
          <w:color w:val="334155"/>
          <w:sz w:val="22"/>
          <w:szCs w:val="22"/>
        </w:rPr>
        <w:t xml:space="preserve"/>
      </w:r>
    </w:p>
    <w:p>
      <w:pPr>
        <w:pStyle w:val="Heading1"/>
        <w:pBdr>
          <w:bottom w:val="single" w:color="1E3A5F" w:sz="6" w:space="4"/>
        </w:pBdr>
        <w:spacing w:after="100" w:before="320"/>
      </w:pPr>
      <w:r>
        <w:rPr>
          <w:rFonts w:ascii="Arial" w:cs="Arial" w:eastAsia="Arial" w:hAnsi="Arial"/>
          <w:b/>
          <w:bCs/>
          <w:color w:val="1E3A5F"/>
          <w:sz w:val="28"/>
          <w:szCs w:val="28"/>
        </w:rPr>
        <w:t xml:space="preserve">7. Documentation &amp; Retention</w:t>
      </w:r>
    </w:p>
    <w:p>
      <w:pPr>
        <w:spacing w:after="60" w:before="60"/>
      </w:pPr>
      <w:r>
        <w:rPr>
          <w:rFonts w:ascii="Arial" w:cs="Arial" w:eastAsia="Arial" w:hAnsi="Arial"/>
          <w:color w:val="334155"/>
          <w:sz w:val="22"/>
          <w:szCs w:val="22"/>
        </w:rPr>
        <w:t xml:space="preserve">The following records must be maintained for six (6) years:</w:t>
      </w:r>
    </w:p>
    <w:p>
      <w:pPr>
        <w:pStyle w:val="ListParagraph"/>
        <w:numPr>
          <w:ilvl w:val="0"/>
          <w:numId w:val="4"/>
        </w:numPr>
        <w:spacing w:after="40" w:before="40"/>
      </w:pPr>
      <w:r>
        <w:rPr>
          <w:rFonts w:ascii="Arial" w:cs="Arial" w:eastAsia="Arial" w:hAnsi="Arial"/>
          <w:color w:val="334155"/>
          <w:sz w:val="22"/>
          <w:szCs w:val="22"/>
        </w:rPr>
        <w:t xml:space="preserve">Access Request Forms (provisioning and modification)</w:t>
      </w:r>
    </w:p>
    <w:p>
      <w:pPr>
        <w:pStyle w:val="ListParagraph"/>
        <w:numPr>
          <w:ilvl w:val="0"/>
          <w:numId w:val="4"/>
        </w:numPr>
        <w:spacing w:after="40" w:before="40"/>
      </w:pPr>
      <w:r>
        <w:rPr>
          <w:rFonts w:ascii="Arial" w:cs="Arial" w:eastAsia="Arial" w:hAnsi="Arial"/>
          <w:color w:val="334155"/>
          <w:sz w:val="22"/>
          <w:szCs w:val="22"/>
        </w:rPr>
        <w:t xml:space="preserve">Access Termination Log with timestamps</w:t>
      </w:r>
    </w:p>
    <w:p>
      <w:pPr>
        <w:pStyle w:val="ListParagraph"/>
        <w:numPr>
          <w:ilvl w:val="0"/>
          <w:numId w:val="4"/>
        </w:numPr>
        <w:spacing w:after="40" w:before="40"/>
      </w:pPr>
      <w:r>
        <w:rPr>
          <w:rFonts w:ascii="Arial" w:cs="Arial" w:eastAsia="Arial" w:hAnsi="Arial"/>
          <w:color w:val="334155"/>
          <w:sz w:val="22"/>
          <w:szCs w:val="22"/>
        </w:rPr>
        <w:t xml:space="preserve">Quarterly access review reports</w:t>
      </w:r>
    </w:p>
    <w:p>
      <w:pPr>
        <w:pStyle w:val="ListParagraph"/>
        <w:numPr>
          <w:ilvl w:val="0"/>
          <w:numId w:val="4"/>
        </w:numPr>
        <w:spacing w:after="40" w:before="40"/>
      </w:pPr>
      <w:r>
        <w:rPr>
          <w:rFonts w:ascii="Arial" w:cs="Arial" w:eastAsia="Arial" w:hAnsi="Arial"/>
          <w:color w:val="334155"/>
          <w:sz w:val="22"/>
          <w:szCs w:val="22"/>
        </w:rPr>
        <w:t xml:space="preserve">Any account suspension actions and justifications</w:t>
      </w:r>
    </w:p>
    <w:p>
      <w:pPr>
        <w:spacing w:after="100" w:before="0"/>
      </w:pPr>
      <w:r>
        <w:rPr>
          <w:rFonts w:ascii="Arial" w:cs="Arial" w:eastAsia="Arial" w:hAnsi="Arial"/>
          <w:color w:val="334155"/>
          <w:sz w:val="22"/>
          <w:szCs w:val="22"/>
        </w:rPr>
        <w:t xml:space="preserve"/>
      </w:r>
    </w:p>
    <w:p>
      <w:pPr>
        <w:spacing w:after="100" w:before="0"/>
      </w:pPr>
      <w:r>
        <w:rPr>
          <w:rFonts w:ascii="Arial" w:cs="Arial" w:eastAsia="Arial" w:hAnsi="Arial"/>
          <w:color w:val="334155"/>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Privacy/Security Officer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Practice Administrator</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_______________________________   Date: ___________</w:t>
            </w:r>
          </w:p>
        </w:tc>
      </w:tr>
      <w:tr>
        <w:tc>
          <w:tcPr>
            <w:tcW w:type="dxa" w:w="2800"/>
            <w:tcBorders>
              <w:top w:val="single" w:color="CBD5E1" w:sz="4"/>
              <w:left w:val="single" w:color="CBD5E1" w:sz="4"/>
              <w:bottom w:val="single" w:color="CBD5E1" w:sz="4"/>
              <w:right w:val="single" w:color="CBD5E1" w:sz="4"/>
            </w:tcBorders>
            <w:shd w:fill="F8FAFC" w:val="clear"/>
            <w:tcMar>
              <w:top w:type="dxa" w:w="80"/>
              <w:left w:type="dxa" w:w="130"/>
              <w:bottom w:type="dxa" w:w="80"/>
              <w:right w:type="dxa" w:w="130"/>
            </w:tcMar>
          </w:tcPr>
          <w:p>
            <w:r>
              <w:rPr>
                <w:rFonts w:ascii="Arial" w:cs="Arial" w:eastAsia="Arial" w:hAnsi="Arial"/>
                <w:b/>
                <w:bCs/>
                <w:color w:val="334155"/>
                <w:sz w:val="21"/>
                <w:szCs w:val="21"/>
              </w:rPr>
              <w:t xml:space="preserve">Version / Date</w:t>
            </w:r>
          </w:p>
        </w:tc>
        <w:tc>
          <w:tcPr>
            <w:tcW w:type="dxa" w:w="6560"/>
            <w:tcBorders>
              <w:top w:val="single" w:color="CBD5E1" w:sz="4"/>
              <w:left w:val="single" w:color="CBD5E1" w:sz="4"/>
              <w:bottom w:val="single" w:color="CBD5E1" w:sz="4"/>
              <w:right w:val="single" w:color="CBD5E1" w:sz="4"/>
            </w:tcBorders>
            <w:shd w:fill="FFFFFF" w:val="clear"/>
            <w:tcMar>
              <w:top w:type="dxa" w:w="80"/>
              <w:left w:type="dxa" w:w="130"/>
              <w:bottom w:type="dxa" w:w="80"/>
              <w:right w:type="dxa" w:w="130"/>
            </w:tcMar>
          </w:tcPr>
          <w:p>
            <w:r>
              <w:rPr>
                <w:rFonts w:ascii="Arial" w:cs="Arial" w:eastAsia="Arial" w:hAnsi="Arial"/>
                <w:b w:val="false"/>
                <w:bCs w:val="false"/>
                <w:color w:val="334155"/>
                <w:sz w:val="21"/>
                <w:szCs w:val="21"/>
              </w:rPr>
              <w:t xml:space="preserve">1.0 — March 20,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pPr>
    <w:r>
      <w:rPr>
        <w:rFonts w:ascii="Arial" w:cs="Arial" w:eastAsia="Arial" w:hAnsi="Arial"/>
        <w:color w:val="64748B"/>
        <w:sz w:val="16"/>
        <w:szCs w:val="16"/>
      </w:rPr>
      <w:t xml:space="preserve">Internal Use Only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360"/>
      </w:tabs>
    </w:pPr>
    <w:r>
      <w:rPr>
        <w:rFonts w:ascii="Arial" w:cs="Arial" w:eastAsia="Arial" w:hAnsi="Arial"/>
        <w:color w:val="64748B"/>
        <w:sz w:val="17"/>
        <w:szCs w:val="17"/>
      </w:rPr>
      <w:t xml:space="preserve">Valiant Direct Primary Care  |  User Access Management &amp; Workforce Offboarding Policy</w:t>
    </w:r>
    <w:r>
      <w:rPr>
        <w:rFonts w:ascii="Arial" w:cs="Arial" w:eastAsia="Arial" w:hAnsi="Arial"/>
        <w:b/>
        <w:bCs/>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20"/>
      <w:outlineLvl w:val="1"/>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2026-03-20T14:53:57.396Z</dcterms:created>
  <dcterms:modified xsi:type="dcterms:W3CDTF">2026-03-20T14:53:57.396Z</dcterms:modified>
</cp:coreProperties>
</file>

<file path=docProps/custom.xml><?xml version="1.0" encoding="utf-8"?>
<Properties xmlns="http://schemas.openxmlformats.org/officeDocument/2006/custom-properties" xmlns:vt="http://schemas.openxmlformats.org/officeDocument/2006/docPropsVTypes"/>
</file>