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Data Retention &amp;
Disposal Policy</w:t>
      </w:r>
    </w:p>
    <w:p>
      <w:pPr>
        <w:spacing w:after="280"/>
        <w:jc w:val="center"/>
      </w:pPr>
      <w:r>
        <w:rPr>
          <w:rFonts w:ascii="Arial" w:cs="Arial" w:eastAsia="Arial" w:hAnsi="Arial"/>
          <w:color w:val="64748B"/>
          <w:sz w:val="24"/>
          <w:szCs w:val="24"/>
        </w:rPr>
        <w:t xml:space="preserve">Administrative Safeguards — Information Lifecycle Management</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POL-HIPAA-004</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policy establishes requirements for retaining and securely disposing of ePHI and practice records in compliance with HIPAA, Virginia state law, and applicable federal regulations. Proper retention protects patient rights and practice continuity; secure disposal prevents unauthorized disclosure of ePHI.</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164.310(d)(2) — Media Controls (Required). 45 C.F.R. § 164.530(j) — Document Retention (6-year minimum for HIPAA records). Virginia Code § 32.1-127.1:03 — Medical record retention (5 years for adults; 3 years past age 18 for minors).</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all ePHI and practice records in any medium, including: the MedFlow EMR database, uploaded laboratory and imaging files, fax records, backup files, payment records, enrollment applications, and paper records.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Record Type</w:t>
            </w:r>
          </w:p>
        </w:tc>
        <w:tc>
          <w:tcPr>
            <w:tcW w:type="dxa" w:w="16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Retention Period</w:t>
            </w:r>
          </w:p>
        </w:tc>
        <w:tc>
          <w:tcPr>
            <w:tcW w:type="dxa" w:w="49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Legal Basis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Patient medical records (adult)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5 years from last contact (minimum)</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Virginia Code § 32.1-127.1:03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Patient medical records (minor)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3 years after age 18</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Virginia Code § 32.1-127.1:03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HIPAA policies &amp; procedures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 from creation or last effective date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164.530(j)</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HIPAA training records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 from date of training</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164.530(j)</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Audit logs (EMR access logs)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164.312(b)</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Incident response documentation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 from date of incident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164.308(a)(6)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Business Associate Agreements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 from termination of BAA</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164.308(b)</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Membership &amp; billing records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7 years (IRS requirement)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26 U.S.C. § 6501</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Lab and imaging orders/results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5 years (part of medical record)</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Virginia Code § 32.1-127.1:03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Prescription records (controlled)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5 years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DEA 21 C.F.R. § 1304.04</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Enrollment applications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6 years from last activity</w:t>
            </w:r>
          </w:p>
        </w:tc>
        <w:tc>
          <w:tcPr>
            <w:tcW w:type="dxa" w:w="4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164.530(j)</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Data Storage &amp; Security During Retention</w:t>
      </w:r>
    </w:p>
    <w:p>
      <w:pPr>
        <w:pStyle w:val="Heading2"/>
        <w:spacing w:after="80" w:before="220"/>
      </w:pPr>
      <w:r>
        <w:rPr>
          <w:rFonts w:ascii="Arial" w:cs="Arial" w:eastAsia="Arial" w:hAnsi="Arial"/>
          <w:b/>
          <w:bCs/>
          <w:color w:val="334155"/>
          <w:sz w:val="24"/>
          <w:szCs w:val="24"/>
        </w:rPr>
        <w:t xml:space="preserve">4.1  Active Records</w:t>
      </w:r>
    </w:p>
    <w:p>
      <w:pPr>
        <w:pStyle w:val="ListParagraph"/>
        <w:numPr>
          <w:ilvl w:val="0"/>
          <w:numId w:val="2"/>
        </w:numPr>
        <w:spacing w:after="40" w:before="40"/>
      </w:pPr>
      <w:r>
        <w:rPr>
          <w:rFonts w:ascii="Arial" w:cs="Arial" w:eastAsia="Arial" w:hAnsi="Arial"/>
          <w:color w:val="334155"/>
          <w:sz w:val="22"/>
          <w:szCs w:val="22"/>
        </w:rPr>
        <w:t xml:space="preserve">All ePHI stored in the MedFlow EMR database on Railway cloud infrastructure with encryption at rest and in transit</w:t>
      </w:r>
    </w:p>
    <w:p>
      <w:pPr>
        <w:pStyle w:val="ListParagraph"/>
        <w:numPr>
          <w:ilvl w:val="0"/>
          <w:numId w:val="2"/>
        </w:numPr>
        <w:spacing w:after="40" w:before="40"/>
      </w:pPr>
      <w:r>
        <w:rPr>
          <w:rFonts w:ascii="Arial" w:cs="Arial" w:eastAsia="Arial" w:hAnsi="Arial"/>
          <w:color w:val="334155"/>
          <w:sz w:val="22"/>
          <w:szCs w:val="22"/>
        </w:rPr>
        <w:t xml:space="preserve">Access restricted to authorized workforce members using role-based access controls</w:t>
      </w:r>
    </w:p>
    <w:p>
      <w:pPr>
        <w:pStyle w:val="ListParagraph"/>
        <w:numPr>
          <w:ilvl w:val="0"/>
          <w:numId w:val="2"/>
        </w:numPr>
        <w:spacing w:after="40" w:before="40"/>
      </w:pPr>
      <w:r>
        <w:rPr>
          <w:rFonts w:ascii="Arial" w:cs="Arial" w:eastAsia="Arial" w:hAnsi="Arial"/>
          <w:color w:val="334155"/>
          <w:sz w:val="22"/>
          <w:szCs w:val="22"/>
        </w:rPr>
        <w:t xml:space="preserve">Automated daily database backups retained for 30 days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4.2  File Uploads &amp; Attachments</w:t>
      </w:r>
    </w:p>
    <w:p>
      <w:pPr>
        <w:pStyle w:val="ListParagraph"/>
        <w:numPr>
          <w:ilvl w:val="0"/>
          <w:numId w:val="2"/>
        </w:numPr>
        <w:spacing w:after="40" w:before="40"/>
      </w:pPr>
      <w:r>
        <w:rPr>
          <w:rFonts w:ascii="Arial" w:cs="Arial" w:eastAsia="Arial" w:hAnsi="Arial"/>
          <w:color w:val="334155"/>
          <w:sz w:val="22"/>
          <w:szCs w:val="22"/>
        </w:rPr>
        <w:t xml:space="preserve">Lab results, imaging reports, and uploaded PDFs stored on Railway persistent storage or designated cloud volume</w:t>
      </w:r>
    </w:p>
    <w:p>
      <w:pPr>
        <w:pStyle w:val="ListParagraph"/>
        <w:numPr>
          <w:ilvl w:val="0"/>
          <w:numId w:val="2"/>
        </w:numPr>
        <w:spacing w:after="40" w:before="40"/>
      </w:pPr>
      <w:r>
        <w:rPr>
          <w:rFonts w:ascii="Arial" w:cs="Arial" w:eastAsia="Arial" w:hAnsi="Arial"/>
          <w:color w:val="334155"/>
          <w:sz w:val="22"/>
          <w:szCs w:val="22"/>
        </w:rPr>
        <w:t xml:space="preserve">File storage paths logged in the EMR database; orphaned files reviewed quarterly</w:t>
      </w:r>
    </w:p>
    <w:p>
      <w:pPr>
        <w:pStyle w:val="ListParagraph"/>
        <w:numPr>
          <w:ilvl w:val="0"/>
          <w:numId w:val="2"/>
        </w:numPr>
        <w:spacing w:after="40" w:before="40"/>
      </w:pPr>
      <w:r>
        <w:rPr>
          <w:rFonts w:ascii="Arial" w:cs="Arial" w:eastAsia="Arial" w:hAnsi="Arial"/>
          <w:color w:val="334155"/>
          <w:sz w:val="22"/>
          <w:szCs w:val="22"/>
        </w:rPr>
        <w:t xml:space="preserve">No ePHI may be stored on personal devices or personal cloud storage services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4.3  Paper Records</w:t>
      </w:r>
    </w:p>
    <w:p>
      <w:pPr>
        <w:pStyle w:val="ListParagraph"/>
        <w:numPr>
          <w:ilvl w:val="0"/>
          <w:numId w:val="2"/>
        </w:numPr>
        <w:spacing w:after="40" w:before="40"/>
      </w:pPr>
      <w:r>
        <w:rPr>
          <w:rFonts w:ascii="Arial" w:cs="Arial" w:eastAsia="Arial" w:hAnsi="Arial"/>
          <w:color w:val="334155"/>
          <w:sz w:val="22"/>
          <w:szCs w:val="22"/>
        </w:rPr>
        <w:t xml:space="preserve">Paper records containing PHI must be stored in locked cabinets when not in use</w:t>
      </w:r>
    </w:p>
    <w:p>
      <w:pPr>
        <w:pStyle w:val="ListParagraph"/>
        <w:numPr>
          <w:ilvl w:val="0"/>
          <w:numId w:val="2"/>
        </w:numPr>
        <w:spacing w:after="40" w:before="40"/>
      </w:pPr>
      <w:r>
        <w:rPr>
          <w:rFonts w:ascii="Arial" w:cs="Arial" w:eastAsia="Arial" w:hAnsi="Arial"/>
          <w:color w:val="334155"/>
          <w:sz w:val="22"/>
          <w:szCs w:val="22"/>
        </w:rPr>
        <w:t xml:space="preserve">Paper records must not be left unattended in patient-accessible areas</w:t>
      </w:r>
    </w:p>
    <w:p>
      <w:pPr>
        <w:pStyle w:val="ListParagraph"/>
        <w:numPr>
          <w:ilvl w:val="0"/>
          <w:numId w:val="2"/>
        </w:numPr>
        <w:spacing w:after="40" w:before="40"/>
      </w:pPr>
      <w:r>
        <w:rPr>
          <w:rFonts w:ascii="Arial" w:cs="Arial" w:eastAsia="Arial" w:hAnsi="Arial"/>
          <w:color w:val="334155"/>
          <w:sz w:val="22"/>
          <w:szCs w:val="22"/>
        </w:rPr>
        <w:t xml:space="preserve">Paper records being transported must be in sealed, labeled envelopes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Disposal Procedures</w:t>
      </w:r>
    </w:p>
    <w:p>
      <w:pPr>
        <w:pStyle w:val="Heading2"/>
        <w:spacing w:after="80" w:before="220"/>
      </w:pPr>
      <w:r>
        <w:rPr>
          <w:rFonts w:ascii="Arial" w:cs="Arial" w:eastAsia="Arial" w:hAnsi="Arial"/>
          <w:b/>
          <w:bCs/>
          <w:color w:val="334155"/>
          <w:sz w:val="24"/>
          <w:szCs w:val="24"/>
        </w:rPr>
        <w:t xml:space="preserve">5.1  Electronic Records &amp; Media</w:t>
      </w:r>
    </w:p>
    <w:p>
      <w:pPr>
        <w:pStyle w:val="ListParagraph"/>
        <w:numPr>
          <w:ilvl w:val="0"/>
          <w:numId w:val="3"/>
        </w:numPr>
        <w:spacing w:after="40" w:before="40"/>
      </w:pPr>
      <w:r>
        <w:rPr>
          <w:rFonts w:ascii="Arial" w:cs="Arial" w:eastAsia="Arial" w:hAnsi="Arial"/>
          <w:color w:val="334155"/>
          <w:sz w:val="22"/>
          <w:szCs w:val="22"/>
        </w:rPr>
        <w:t xml:space="preserve">When retention period expires, identify records in the EMR and mark for disposal.</w:t>
      </w:r>
    </w:p>
    <w:p>
      <w:pPr>
        <w:pStyle w:val="ListParagraph"/>
        <w:numPr>
          <w:ilvl w:val="0"/>
          <w:numId w:val="3"/>
        </w:numPr>
        <w:spacing w:after="40" w:before="40"/>
      </w:pPr>
      <w:r>
        <w:rPr>
          <w:rFonts w:ascii="Arial" w:cs="Arial" w:eastAsia="Arial" w:hAnsi="Arial"/>
          <w:color w:val="334155"/>
          <w:sz w:val="22"/>
          <w:szCs w:val="22"/>
        </w:rPr>
        <w:t xml:space="preserve">Obtain Practice Administrator approval for all disposal actions.</w:t>
      </w:r>
    </w:p>
    <w:p>
      <w:pPr>
        <w:pStyle w:val="ListParagraph"/>
        <w:numPr>
          <w:ilvl w:val="0"/>
          <w:numId w:val="3"/>
        </w:numPr>
        <w:spacing w:after="40" w:before="40"/>
      </w:pPr>
      <w:r>
        <w:rPr>
          <w:rFonts w:ascii="Arial" w:cs="Arial" w:eastAsia="Arial" w:hAnsi="Arial"/>
          <w:color w:val="334155"/>
          <w:sz w:val="22"/>
          <w:szCs w:val="22"/>
        </w:rPr>
        <w:t xml:space="preserve">Electronic deletion of database records must use overwrite/purge methods that prevent recovery; simple deletion is not sufficient.</w:t>
      </w:r>
    </w:p>
    <w:p>
      <w:pPr>
        <w:pStyle w:val="ListParagraph"/>
        <w:numPr>
          <w:ilvl w:val="0"/>
          <w:numId w:val="3"/>
        </w:numPr>
        <w:spacing w:after="40" w:before="40"/>
      </w:pPr>
      <w:r>
        <w:rPr>
          <w:rFonts w:ascii="Arial" w:cs="Arial" w:eastAsia="Arial" w:hAnsi="Arial"/>
          <w:color w:val="334155"/>
          <w:sz w:val="22"/>
          <w:szCs w:val="22"/>
        </w:rPr>
        <w:t xml:space="preserve">Storage media (hard drives, USB drives, backup tapes) must be destroyed using NIST SP 800-88 guidelines: physical destruction (shredding/degaussing) or certified data-wiping.</w:t>
      </w:r>
    </w:p>
    <w:p>
      <w:pPr>
        <w:pStyle w:val="ListParagraph"/>
        <w:numPr>
          <w:ilvl w:val="0"/>
          <w:numId w:val="3"/>
        </w:numPr>
        <w:spacing w:after="40" w:before="40"/>
      </w:pPr>
      <w:r>
        <w:rPr>
          <w:rFonts w:ascii="Arial" w:cs="Arial" w:eastAsia="Arial" w:hAnsi="Arial"/>
          <w:color w:val="334155"/>
          <w:sz w:val="22"/>
          <w:szCs w:val="22"/>
        </w:rPr>
        <w:t xml:space="preserve">Obtain a Certificate of Destruction from any third-party disposal vendor.</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5.2  Paper Records</w:t>
      </w:r>
    </w:p>
    <w:p>
      <w:pPr>
        <w:pStyle w:val="ListParagraph"/>
        <w:numPr>
          <w:ilvl w:val="0"/>
          <w:numId w:val="4"/>
        </w:numPr>
        <w:spacing w:after="40" w:before="40"/>
      </w:pPr>
      <w:r>
        <w:rPr>
          <w:rFonts w:ascii="Arial" w:cs="Arial" w:eastAsia="Arial" w:hAnsi="Arial"/>
          <w:color w:val="334155"/>
          <w:sz w:val="22"/>
          <w:szCs w:val="22"/>
        </w:rPr>
        <w:t xml:space="preserve">Paper records must be shredded using a cross-cut or micro-cut shredder.</w:t>
      </w:r>
    </w:p>
    <w:p>
      <w:pPr>
        <w:pStyle w:val="ListParagraph"/>
        <w:numPr>
          <w:ilvl w:val="0"/>
          <w:numId w:val="4"/>
        </w:numPr>
        <w:spacing w:after="40" w:before="40"/>
      </w:pPr>
      <w:r>
        <w:rPr>
          <w:rFonts w:ascii="Arial" w:cs="Arial" w:eastAsia="Arial" w:hAnsi="Arial"/>
          <w:color w:val="334155"/>
          <w:sz w:val="22"/>
          <w:szCs w:val="22"/>
        </w:rPr>
        <w:t xml:space="preserve">Bulk disposal must use a NAID AAA-certified document destruction vendor.</w:t>
      </w:r>
    </w:p>
    <w:p>
      <w:pPr>
        <w:pStyle w:val="ListParagraph"/>
        <w:numPr>
          <w:ilvl w:val="0"/>
          <w:numId w:val="4"/>
        </w:numPr>
        <w:spacing w:after="40" w:before="40"/>
      </w:pPr>
      <w:r>
        <w:rPr>
          <w:rFonts w:ascii="Arial" w:cs="Arial" w:eastAsia="Arial" w:hAnsi="Arial"/>
          <w:color w:val="334155"/>
          <w:sz w:val="22"/>
          <w:szCs w:val="22"/>
        </w:rPr>
        <w:t xml:space="preserve">Retain the Certificate of Destruction from vendor for six (6) years.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Disposal Log</w:t>
      </w:r>
    </w:p>
    <w:p>
      <w:pPr>
        <w:spacing w:after="60" w:before="60"/>
      </w:pPr>
      <w:r>
        <w:rPr>
          <w:rFonts w:ascii="Arial" w:cs="Arial" w:eastAsia="Arial" w:hAnsi="Arial"/>
          <w:color w:val="334155"/>
          <w:sz w:val="22"/>
          <w:szCs w:val="22"/>
        </w:rPr>
        <w:t xml:space="preserve">A Disposal Log must be maintained for every disposal action, containing:</w:t>
      </w:r>
    </w:p>
    <w:p>
      <w:pPr>
        <w:pStyle w:val="ListParagraph"/>
        <w:numPr>
          <w:ilvl w:val="0"/>
          <w:numId w:val="2"/>
        </w:numPr>
        <w:spacing w:after="40" w:before="40"/>
      </w:pPr>
      <w:r>
        <w:rPr>
          <w:rFonts w:ascii="Arial" w:cs="Arial" w:eastAsia="Arial" w:hAnsi="Arial"/>
          <w:color w:val="334155"/>
          <w:sz w:val="22"/>
          <w:szCs w:val="22"/>
        </w:rPr>
        <w:t xml:space="preserve">Date and description of records disposed</w:t>
      </w:r>
    </w:p>
    <w:p>
      <w:pPr>
        <w:pStyle w:val="ListParagraph"/>
        <w:numPr>
          <w:ilvl w:val="0"/>
          <w:numId w:val="2"/>
        </w:numPr>
        <w:spacing w:after="40" w:before="40"/>
      </w:pPr>
      <w:r>
        <w:rPr>
          <w:rFonts w:ascii="Arial" w:cs="Arial" w:eastAsia="Arial" w:hAnsi="Arial"/>
          <w:color w:val="334155"/>
          <w:sz w:val="22"/>
          <w:szCs w:val="22"/>
        </w:rPr>
        <w:t xml:space="preserve">Disposal method used</w:t>
      </w:r>
    </w:p>
    <w:p>
      <w:pPr>
        <w:pStyle w:val="ListParagraph"/>
        <w:numPr>
          <w:ilvl w:val="0"/>
          <w:numId w:val="2"/>
        </w:numPr>
        <w:spacing w:after="40" w:before="40"/>
      </w:pPr>
      <w:r>
        <w:rPr>
          <w:rFonts w:ascii="Arial" w:cs="Arial" w:eastAsia="Arial" w:hAnsi="Arial"/>
          <w:color w:val="334155"/>
          <w:sz w:val="22"/>
          <w:szCs w:val="22"/>
        </w:rPr>
        <w:t xml:space="preserve">Name of workforce member who authorized and performed the disposal</w:t>
      </w:r>
    </w:p>
    <w:p>
      <w:pPr>
        <w:pStyle w:val="ListParagraph"/>
        <w:numPr>
          <w:ilvl w:val="0"/>
          <w:numId w:val="2"/>
        </w:numPr>
        <w:spacing w:after="40" w:before="40"/>
      </w:pPr>
      <w:r>
        <w:rPr>
          <w:rFonts w:ascii="Arial" w:cs="Arial" w:eastAsia="Arial" w:hAnsi="Arial"/>
          <w:color w:val="334155"/>
          <w:sz w:val="22"/>
          <w:szCs w:val="22"/>
        </w:rPr>
        <w:t xml:space="preserve">Certificate of Destruction (if applicable)</w:t>
      </w:r>
    </w:p>
    <w:p>
      <w:pPr>
        <w:spacing w:after="60" w:before="60"/>
      </w:pPr>
      <w:r>
        <w:rPr>
          <w:rFonts w:ascii="Arial" w:cs="Arial" w:eastAsia="Arial" w:hAnsi="Arial"/>
          <w:color w:val="334155"/>
          <w:sz w:val="22"/>
          <w:szCs w:val="22"/>
        </w:rPr>
        <w:t xml:space="preserve">Log retained for six (6) years.</w:t>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Data Retention &amp; Disposal Policy</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2026-03-20T14:53:57.420Z</dcterms:created>
  <dcterms:modified xsi:type="dcterms:W3CDTF">2026-03-20T14:53:57.420Z</dcterms:modified>
</cp:coreProperties>
</file>

<file path=docProps/custom.xml><?xml version="1.0" encoding="utf-8"?>
<Properties xmlns="http://schemas.openxmlformats.org/officeDocument/2006/custom-properties" xmlns:vt="http://schemas.openxmlformats.org/officeDocument/2006/docPropsVTypes"/>
</file>