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0"/>
      </w:pPr>
      <w:r>
        <w:rPr>
          <w:rFonts w:ascii="Arial" w:cs="Arial" w:eastAsia="Arial" w:hAnsi="Arial"/>
          <w:color w:val="334155"/>
          <w:sz w:val="22"/>
          <w:szCs w:val="22"/>
        </w:rPr>
        <w:t xml:space="preserve"/>
      </w:r>
    </w:p>
    <w:p>
      <w:pPr>
        <w:spacing w:after="100" w:before="0"/>
      </w:pPr>
      <w:r>
        <w:rPr>
          <w:rFonts w:ascii="Arial" w:cs="Arial" w:eastAsia="Arial" w:hAnsi="Arial"/>
          <w:color w:val="334155"/>
          <w:sz w:val="22"/>
          <w:szCs w:val="22"/>
        </w:rPr>
        <w:t xml:space="preserve"/>
      </w:r>
    </w:p>
    <w:p>
      <w:pPr>
        <w:spacing w:after="100" w:before="0"/>
      </w:pPr>
      <w:r>
        <w:rPr>
          <w:rFonts w:ascii="Arial" w:cs="Arial" w:eastAsia="Arial" w:hAnsi="Arial"/>
          <w:color w:val="334155"/>
          <w:sz w:val="22"/>
          <w:szCs w:val="22"/>
        </w:rPr>
        <w:t xml:space="preserve"/>
      </w:r>
    </w:p>
    <w:p>
      <w:pPr>
        <w:spacing w:after="80"/>
        <w:jc w:val="center"/>
      </w:pPr>
      <w:r>
        <w:rPr>
          <w:rFonts w:ascii="Arial" w:cs="Arial" w:eastAsia="Arial" w:hAnsi="Arial"/>
          <w:b/>
          <w:bCs/>
          <w:color w:val="1E3A5F"/>
          <w:sz w:val="34"/>
          <w:szCs w:val="34"/>
        </w:rPr>
        <w:t xml:space="preserve">Valiant Direct Primary Care</w:t>
      </w:r>
    </w:p>
    <w:p>
      <w:pPr>
        <w:spacing w:after="80" w:before="80"/>
        <w:jc w:val="center"/>
      </w:pPr>
      <w:r>
        <w:rPr>
          <w:rFonts w:ascii="Arial" w:cs="Arial" w:eastAsia="Arial" w:hAnsi="Arial"/>
          <w:b/>
          <w:bCs/>
          <w:color w:val="1E3A5F"/>
          <w:sz w:val="48"/>
          <w:szCs w:val="48"/>
        </w:rPr>
        <w:t xml:space="preserve">Audit Log
Review Policy</w:t>
      </w:r>
    </w:p>
    <w:p>
      <w:pPr>
        <w:spacing w:after="280"/>
        <w:jc w:val="center"/>
      </w:pPr>
      <w:r>
        <w:rPr>
          <w:rFonts w:ascii="Arial" w:cs="Arial" w:eastAsia="Arial" w:hAnsi="Arial"/>
          <w:color w:val="64748B"/>
          <w:sz w:val="24"/>
          <w:szCs w:val="24"/>
        </w:rPr>
        <w:t xml:space="preserve">Administrative Safeguards — Audit Controls &amp; Monitoring</w:t>
      </w:r>
    </w:p>
    <w:tbl>
      <w:tblPr>
        <w:tblW w:type="dxa" w:w="3600"/>
        <w:jc w:val="center"/>
        <w:tblBorders>
          <w:top w:val="single" w:color="auto" w:sz="4"/>
          <w:left w:val="single" w:color="auto" w:sz="4"/>
          <w:bottom w:val="single" w:color="auto" w:sz="4"/>
          <w:right w:val="single" w:color="auto" w:sz="4"/>
          <w:insideH w:val="single" w:color="auto" w:sz="4"/>
          <w:insideV w:val="single" w:color="auto" w:sz="4"/>
        </w:tblBorders>
      </w:tblPr>
      <w:tblGrid>
        <w:gridCol w:w="3600"/>
      </w:tblGrid>
      <w:tr>
        <w:tc>
          <w:tcPr>
            <w:tcW w:type="dxa" w:w="3600"/>
            <w:tcBorders>
              <w:top w:val="single" w:color="DC2626" w:sz="8"/>
              <w:left w:val="single" w:color="DC2626" w:sz="8"/>
              <w:bottom w:val="single" w:color="DC2626" w:sz="8"/>
              <w:right w:val="single" w:color="DC2626" w:sz="8"/>
            </w:tcBorders>
            <w:shd w:fill="FEE2E2" w:val="clear"/>
            <w:tcMar>
              <w:top w:type="dxa" w:w="120"/>
              <w:left w:type="dxa" w:w="240"/>
              <w:bottom w:type="dxa" w:w="120"/>
              <w:right w:type="dxa" w:w="240"/>
            </w:tcMar>
          </w:tcPr>
          <w:p>
            <w:pPr>
              <w:jc w:val="center"/>
            </w:pPr>
            <w:r>
              <w:rPr>
                <w:rFonts w:ascii="Arial" w:cs="Arial" w:eastAsia="Arial" w:hAnsi="Arial"/>
                <w:b/>
                <w:bCs/>
                <w:color w:val="DC2626"/>
                <w:sz w:val="22"/>
                <w:szCs w:val="22"/>
              </w:rPr>
              <w:t xml:space="preserve">CONFIDENTIAL — INTERNAL USE ONLY</w:t>
            </w:r>
          </w:p>
        </w:tc>
      </w:tr>
    </w:tbl>
    <w:p>
      <w:pPr>
        <w:spacing w:after="100" w:before="0"/>
      </w:pPr>
      <w:r>
        <w:rPr>
          <w:rFonts w:ascii="Arial" w:cs="Arial" w:eastAsia="Arial" w:hAnsi="Arial"/>
          <w:color w:val="334155"/>
          <w:sz w:val="22"/>
          <w:szCs w:val="22"/>
        </w:rPr>
        <w:t xml:space="preserve"/>
      </w:r>
    </w:p>
    <w:p>
      <w:pPr>
        <w:spacing w:after="100" w:before="0"/>
      </w:pPr>
      <w:r>
        <w:rPr>
          <w:rFonts w:ascii="Arial" w:cs="Arial" w:eastAsia="Arial" w:hAnsi="Arial"/>
          <w:color w:val="334155"/>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4"/>
              <w:left w:val="single" w:color="CBD5E1" w:sz="4"/>
              <w:bottom w:val="single" w:color="CBD5E1" w:sz="4"/>
              <w:right w:val="single" w:color="CBD5E1" w:sz="4"/>
            </w:tcBorders>
            <w:shd w:fill="F8FAFC" w:val="clear"/>
            <w:tcMar>
              <w:top w:type="dxa" w:w="80"/>
              <w:left w:type="dxa" w:w="130"/>
              <w:bottom w:type="dxa" w:w="80"/>
              <w:right w:type="dxa" w:w="130"/>
            </w:tcMar>
          </w:tcPr>
          <w:p>
            <w:r>
              <w:rPr>
                <w:rFonts w:ascii="Arial" w:cs="Arial" w:eastAsia="Arial" w:hAnsi="Arial"/>
                <w:b/>
                <w:bCs/>
                <w:color w:val="334155"/>
                <w:sz w:val="21"/>
                <w:szCs w:val="21"/>
              </w:rPr>
              <w:t xml:space="preserve">Policy Number</w:t>
            </w:r>
          </w:p>
        </w:tc>
        <w:tc>
          <w:tcPr>
            <w:tcW w:type="dxa" w:w="6560"/>
            <w:tcBorders>
              <w:top w:val="single" w:color="CBD5E1" w:sz="4"/>
              <w:left w:val="single" w:color="CBD5E1" w:sz="4"/>
              <w:bottom w:val="single" w:color="CBD5E1" w:sz="4"/>
              <w:right w:val="single" w:color="CBD5E1" w:sz="4"/>
            </w:tcBorders>
            <w:shd w:fill="FFFFFF" w:val="clear"/>
            <w:tcMar>
              <w:top w:type="dxa" w:w="80"/>
              <w:left w:type="dxa" w:w="130"/>
              <w:bottom w:type="dxa" w:w="80"/>
              <w:right w:type="dxa" w:w="130"/>
            </w:tcMar>
          </w:tcPr>
          <w:p>
            <w:r>
              <w:rPr>
                <w:rFonts w:ascii="Arial" w:cs="Arial" w:eastAsia="Arial" w:hAnsi="Arial"/>
                <w:b w:val="false"/>
                <w:bCs w:val="false"/>
                <w:color w:val="334155"/>
                <w:sz w:val="21"/>
                <w:szCs w:val="21"/>
              </w:rPr>
              <w:t xml:space="preserve">POL-HIPAA-005</w:t>
            </w:r>
          </w:p>
        </w:tc>
      </w:tr>
      <w:tr>
        <w:tc>
          <w:tcPr>
            <w:tcW w:type="dxa" w:w="2800"/>
            <w:tcBorders>
              <w:top w:val="single" w:color="CBD5E1" w:sz="4"/>
              <w:left w:val="single" w:color="CBD5E1" w:sz="4"/>
              <w:bottom w:val="single" w:color="CBD5E1" w:sz="4"/>
              <w:right w:val="single" w:color="CBD5E1" w:sz="4"/>
            </w:tcBorders>
            <w:shd w:fill="F8FAFC" w:val="clear"/>
            <w:tcMar>
              <w:top w:type="dxa" w:w="80"/>
              <w:left w:type="dxa" w:w="130"/>
              <w:bottom w:type="dxa" w:w="80"/>
              <w:right w:type="dxa" w:w="130"/>
            </w:tcMar>
          </w:tcPr>
          <w:p>
            <w:r>
              <w:rPr>
                <w:rFonts w:ascii="Arial" w:cs="Arial" w:eastAsia="Arial" w:hAnsi="Arial"/>
                <w:b/>
                <w:bCs/>
                <w:color w:val="334155"/>
                <w:sz w:val="21"/>
                <w:szCs w:val="21"/>
              </w:rPr>
              <w:t xml:space="preserve">Version</w:t>
            </w:r>
          </w:p>
        </w:tc>
        <w:tc>
          <w:tcPr>
            <w:tcW w:type="dxa" w:w="6560"/>
            <w:tcBorders>
              <w:top w:val="single" w:color="CBD5E1" w:sz="4"/>
              <w:left w:val="single" w:color="CBD5E1" w:sz="4"/>
              <w:bottom w:val="single" w:color="CBD5E1" w:sz="4"/>
              <w:right w:val="single" w:color="CBD5E1" w:sz="4"/>
            </w:tcBorders>
            <w:shd w:fill="FFFFFF" w:val="clear"/>
            <w:tcMar>
              <w:top w:type="dxa" w:w="80"/>
              <w:left w:type="dxa" w:w="130"/>
              <w:bottom w:type="dxa" w:w="80"/>
              <w:right w:type="dxa" w:w="130"/>
            </w:tcMar>
          </w:tcPr>
          <w:p>
            <w:r>
              <w:rPr>
                <w:rFonts w:ascii="Arial" w:cs="Arial" w:eastAsia="Arial" w:hAnsi="Arial"/>
                <w:b w:val="false"/>
                <w:bCs w:val="false"/>
                <w:color w:val="334155"/>
                <w:sz w:val="21"/>
                <w:szCs w:val="21"/>
              </w:rPr>
              <w:t xml:space="preserve">1.0</w:t>
            </w:r>
          </w:p>
        </w:tc>
      </w:tr>
      <w:tr>
        <w:tc>
          <w:tcPr>
            <w:tcW w:type="dxa" w:w="2800"/>
            <w:tcBorders>
              <w:top w:val="single" w:color="CBD5E1" w:sz="4"/>
              <w:left w:val="single" w:color="CBD5E1" w:sz="4"/>
              <w:bottom w:val="single" w:color="CBD5E1" w:sz="4"/>
              <w:right w:val="single" w:color="CBD5E1" w:sz="4"/>
            </w:tcBorders>
            <w:shd w:fill="F8FAFC" w:val="clear"/>
            <w:tcMar>
              <w:top w:type="dxa" w:w="80"/>
              <w:left w:type="dxa" w:w="130"/>
              <w:bottom w:type="dxa" w:w="80"/>
              <w:right w:type="dxa" w:w="130"/>
            </w:tcMar>
          </w:tcPr>
          <w:p>
            <w:r>
              <w:rPr>
                <w:rFonts w:ascii="Arial" w:cs="Arial" w:eastAsia="Arial" w:hAnsi="Arial"/>
                <w:b/>
                <w:bCs/>
                <w:color w:val="334155"/>
                <w:sz w:val="21"/>
                <w:szCs w:val="21"/>
              </w:rPr>
              <w:t xml:space="preserve">Effective Date</w:t>
            </w:r>
          </w:p>
        </w:tc>
        <w:tc>
          <w:tcPr>
            <w:tcW w:type="dxa" w:w="6560"/>
            <w:tcBorders>
              <w:top w:val="single" w:color="CBD5E1" w:sz="4"/>
              <w:left w:val="single" w:color="CBD5E1" w:sz="4"/>
              <w:bottom w:val="single" w:color="CBD5E1" w:sz="4"/>
              <w:right w:val="single" w:color="CBD5E1" w:sz="4"/>
            </w:tcBorders>
            <w:shd w:fill="FFFFFF" w:val="clear"/>
            <w:tcMar>
              <w:top w:type="dxa" w:w="80"/>
              <w:left w:type="dxa" w:w="130"/>
              <w:bottom w:type="dxa" w:w="80"/>
              <w:right w:type="dxa" w:w="130"/>
            </w:tcMar>
          </w:tcPr>
          <w:p>
            <w:r>
              <w:rPr>
                <w:rFonts w:ascii="Arial" w:cs="Arial" w:eastAsia="Arial" w:hAnsi="Arial"/>
                <w:b w:val="false"/>
                <w:bCs w:val="false"/>
                <w:color w:val="334155"/>
                <w:sz w:val="21"/>
                <w:szCs w:val="21"/>
              </w:rPr>
              <w:t xml:space="preserve">March 20, 2026</w:t>
            </w:r>
          </w:p>
        </w:tc>
      </w:tr>
      <w:tr>
        <w:tc>
          <w:tcPr>
            <w:tcW w:type="dxa" w:w="2800"/>
            <w:tcBorders>
              <w:top w:val="single" w:color="CBD5E1" w:sz="4"/>
              <w:left w:val="single" w:color="CBD5E1" w:sz="4"/>
              <w:bottom w:val="single" w:color="CBD5E1" w:sz="4"/>
              <w:right w:val="single" w:color="CBD5E1" w:sz="4"/>
            </w:tcBorders>
            <w:shd w:fill="F8FAFC" w:val="clear"/>
            <w:tcMar>
              <w:top w:type="dxa" w:w="80"/>
              <w:left w:type="dxa" w:w="130"/>
              <w:bottom w:type="dxa" w:w="80"/>
              <w:right w:type="dxa" w:w="130"/>
            </w:tcMar>
          </w:tcPr>
          <w:p>
            <w:r>
              <w:rPr>
                <w:rFonts w:ascii="Arial" w:cs="Arial" w:eastAsia="Arial" w:hAnsi="Arial"/>
                <w:b/>
                <w:bCs/>
                <w:color w:val="334155"/>
                <w:sz w:val="21"/>
                <w:szCs w:val="21"/>
              </w:rPr>
              <w:t xml:space="preserve">Next Review Date</w:t>
            </w:r>
          </w:p>
        </w:tc>
        <w:tc>
          <w:tcPr>
            <w:tcW w:type="dxa" w:w="6560"/>
            <w:tcBorders>
              <w:top w:val="single" w:color="CBD5E1" w:sz="4"/>
              <w:left w:val="single" w:color="CBD5E1" w:sz="4"/>
              <w:bottom w:val="single" w:color="CBD5E1" w:sz="4"/>
              <w:right w:val="single" w:color="CBD5E1" w:sz="4"/>
            </w:tcBorders>
            <w:shd w:fill="FFFFFF" w:val="clear"/>
            <w:tcMar>
              <w:top w:type="dxa" w:w="80"/>
              <w:left w:type="dxa" w:w="130"/>
              <w:bottom w:type="dxa" w:w="80"/>
              <w:right w:type="dxa" w:w="130"/>
            </w:tcMar>
          </w:tcPr>
          <w:p>
            <w:r>
              <w:rPr>
                <w:rFonts w:ascii="Arial" w:cs="Arial" w:eastAsia="Arial" w:hAnsi="Arial"/>
                <w:b w:val="false"/>
                <w:bCs w:val="false"/>
                <w:color w:val="334155"/>
                <w:sz w:val="21"/>
                <w:szCs w:val="21"/>
              </w:rPr>
              <w:t xml:space="preserve">March 20, 2027</w:t>
            </w:r>
          </w:p>
        </w:tc>
      </w:tr>
      <w:tr>
        <w:tc>
          <w:tcPr>
            <w:tcW w:type="dxa" w:w="2800"/>
            <w:tcBorders>
              <w:top w:val="single" w:color="CBD5E1" w:sz="4"/>
              <w:left w:val="single" w:color="CBD5E1" w:sz="4"/>
              <w:bottom w:val="single" w:color="CBD5E1" w:sz="4"/>
              <w:right w:val="single" w:color="CBD5E1" w:sz="4"/>
            </w:tcBorders>
            <w:shd w:fill="F8FAFC" w:val="clear"/>
            <w:tcMar>
              <w:top w:type="dxa" w:w="80"/>
              <w:left w:type="dxa" w:w="130"/>
              <w:bottom w:type="dxa" w:w="80"/>
              <w:right w:type="dxa" w:w="130"/>
            </w:tcMar>
          </w:tcPr>
          <w:p>
            <w:r>
              <w:rPr>
                <w:rFonts w:ascii="Arial" w:cs="Arial" w:eastAsia="Arial" w:hAnsi="Arial"/>
                <w:b/>
                <w:bCs/>
                <w:color w:val="334155"/>
                <w:sz w:val="21"/>
                <w:szCs w:val="21"/>
              </w:rPr>
              <w:t xml:space="preserve">Document Owner</w:t>
            </w:r>
          </w:p>
        </w:tc>
        <w:tc>
          <w:tcPr>
            <w:tcW w:type="dxa" w:w="6560"/>
            <w:tcBorders>
              <w:top w:val="single" w:color="CBD5E1" w:sz="4"/>
              <w:left w:val="single" w:color="CBD5E1" w:sz="4"/>
              <w:bottom w:val="single" w:color="CBD5E1" w:sz="4"/>
              <w:right w:val="single" w:color="CBD5E1" w:sz="4"/>
            </w:tcBorders>
            <w:shd w:fill="FFFFFF" w:val="clear"/>
            <w:tcMar>
              <w:top w:type="dxa" w:w="80"/>
              <w:left w:type="dxa" w:w="130"/>
              <w:bottom w:type="dxa" w:w="80"/>
              <w:right w:type="dxa" w:w="130"/>
            </w:tcMar>
          </w:tcPr>
          <w:p>
            <w:r>
              <w:rPr>
                <w:rFonts w:ascii="Arial" w:cs="Arial" w:eastAsia="Arial" w:hAnsi="Arial"/>
                <w:b w:val="false"/>
                <w:bCs w:val="false"/>
                <w:color w:val="334155"/>
                <w:sz w:val="21"/>
                <w:szCs w:val="21"/>
              </w:rPr>
              <w:t xml:space="preserve">Privacy &amp; Security Officer</w:t>
            </w:r>
          </w:p>
        </w:tc>
      </w:tr>
      <w:tr>
        <w:tc>
          <w:tcPr>
            <w:tcW w:type="dxa" w:w="2800"/>
            <w:tcBorders>
              <w:top w:val="single" w:color="CBD5E1" w:sz="4"/>
              <w:left w:val="single" w:color="CBD5E1" w:sz="4"/>
              <w:bottom w:val="single" w:color="CBD5E1" w:sz="4"/>
              <w:right w:val="single" w:color="CBD5E1" w:sz="4"/>
            </w:tcBorders>
            <w:shd w:fill="F8FAFC" w:val="clear"/>
            <w:tcMar>
              <w:top w:type="dxa" w:w="80"/>
              <w:left w:type="dxa" w:w="130"/>
              <w:bottom w:type="dxa" w:w="80"/>
              <w:right w:type="dxa" w:w="130"/>
            </w:tcMar>
          </w:tcPr>
          <w:p>
            <w:r>
              <w:rPr>
                <w:rFonts w:ascii="Arial" w:cs="Arial" w:eastAsia="Arial" w:hAnsi="Arial"/>
                <w:b/>
                <w:bCs/>
                <w:color w:val="334155"/>
                <w:sz w:val="21"/>
                <w:szCs w:val="21"/>
              </w:rPr>
              <w:t xml:space="preserve">Approved By</w:t>
            </w:r>
          </w:p>
        </w:tc>
        <w:tc>
          <w:tcPr>
            <w:tcW w:type="dxa" w:w="6560"/>
            <w:tcBorders>
              <w:top w:val="single" w:color="CBD5E1" w:sz="4"/>
              <w:left w:val="single" w:color="CBD5E1" w:sz="4"/>
              <w:bottom w:val="single" w:color="CBD5E1" w:sz="4"/>
              <w:right w:val="single" w:color="CBD5E1" w:sz="4"/>
            </w:tcBorders>
            <w:shd w:fill="FFFFFF" w:val="clear"/>
            <w:tcMar>
              <w:top w:type="dxa" w:w="80"/>
              <w:left w:type="dxa" w:w="130"/>
              <w:bottom w:type="dxa" w:w="80"/>
              <w:right w:type="dxa" w:w="130"/>
            </w:tcMar>
          </w:tcPr>
          <w:p>
            <w:r>
              <w:rPr>
                <w:rFonts w:ascii="Arial" w:cs="Arial" w:eastAsia="Arial" w:hAnsi="Arial"/>
                <w:b w:val="false"/>
                <w:bCs w:val="false"/>
                <w:color w:val="334155"/>
                <w:sz w:val="21"/>
                <w:szCs w:val="21"/>
              </w:rPr>
              <w:t xml:space="preserve">Practice Administrator</w:t>
            </w:r>
          </w:p>
        </w:tc>
      </w:tr>
      <w:tr>
        <w:tc>
          <w:tcPr>
            <w:tcW w:type="dxa" w:w="2800"/>
            <w:tcBorders>
              <w:top w:val="single" w:color="CBD5E1" w:sz="4"/>
              <w:left w:val="single" w:color="CBD5E1" w:sz="4"/>
              <w:bottom w:val="single" w:color="CBD5E1" w:sz="4"/>
              <w:right w:val="single" w:color="CBD5E1" w:sz="4"/>
            </w:tcBorders>
            <w:shd w:fill="F8FAFC" w:val="clear"/>
            <w:tcMar>
              <w:top w:type="dxa" w:w="80"/>
              <w:left w:type="dxa" w:w="130"/>
              <w:bottom w:type="dxa" w:w="80"/>
              <w:right w:type="dxa" w:w="130"/>
            </w:tcMar>
          </w:tcPr>
          <w:p>
            <w:r>
              <w:rPr>
                <w:rFonts w:ascii="Arial" w:cs="Arial" w:eastAsia="Arial" w:hAnsi="Arial"/>
                <w:b/>
                <w:bCs/>
                <w:color w:val="334155"/>
                <w:sz w:val="21"/>
                <w:szCs w:val="21"/>
              </w:rPr>
              <w:t xml:space="preserve">Regulatory Basis</w:t>
            </w:r>
          </w:p>
        </w:tc>
        <w:tc>
          <w:tcPr>
            <w:tcW w:type="dxa" w:w="6560"/>
            <w:tcBorders>
              <w:top w:val="single" w:color="CBD5E1" w:sz="4"/>
              <w:left w:val="single" w:color="CBD5E1" w:sz="4"/>
              <w:bottom w:val="single" w:color="CBD5E1" w:sz="4"/>
              <w:right w:val="single" w:color="CBD5E1" w:sz="4"/>
            </w:tcBorders>
            <w:shd w:fill="FFFFFF" w:val="clear"/>
            <w:tcMar>
              <w:top w:type="dxa" w:w="80"/>
              <w:left w:type="dxa" w:w="130"/>
              <w:bottom w:type="dxa" w:w="80"/>
              <w:right w:type="dxa" w:w="130"/>
            </w:tcMar>
          </w:tcPr>
          <w:p>
            <w:r>
              <w:rPr>
                <w:rFonts w:ascii="Arial" w:cs="Arial" w:eastAsia="Arial" w:hAnsi="Arial"/>
                <w:b w:val="false"/>
                <w:bCs w:val="false"/>
                <w:color w:val="334155"/>
                <w:sz w:val="21"/>
                <w:szCs w:val="21"/>
              </w:rPr>
              <w:t xml:space="preserve">45 C.F.R. § 164.308 — HIPAA Security Rule (Administrative Safeguards)</w:t>
            </w:r>
          </w:p>
        </w:tc>
      </w:tr>
    </w:tbl>
    <w:p>
      <w:r>
        <w:br w:type="page"/>
      </w:r>
    </w:p>
    <w:p>
      <w:pPr>
        <w:pStyle w:val="Heading1"/>
        <w:pBdr>
          <w:bottom w:val="single" w:color="1E3A5F" w:sz="6" w:space="4"/>
        </w:pBdr>
        <w:spacing w:after="100" w:before="320"/>
      </w:pPr>
      <w:r>
        <w:rPr>
          <w:rFonts w:ascii="Arial" w:cs="Arial" w:eastAsia="Arial" w:hAnsi="Arial"/>
          <w:b/>
          <w:bCs/>
          <w:color w:val="1E3A5F"/>
          <w:sz w:val="28"/>
          <w:szCs w:val="28"/>
        </w:rPr>
        <w:t xml:space="preserve">1. Purpose</w:t>
      </w:r>
    </w:p>
    <w:p>
      <w:pPr>
        <w:spacing w:after="60" w:before="60"/>
      </w:pPr>
      <w:r>
        <w:rPr>
          <w:rFonts w:ascii="Arial" w:cs="Arial" w:eastAsia="Arial" w:hAnsi="Arial"/>
          <w:color w:val="334155"/>
          <w:sz w:val="22"/>
          <w:szCs w:val="22"/>
        </w:rPr>
        <w:t xml:space="preserve">This policy establishes procedures for the regular review of audit logs generated by the MedFlow EMR system to detect unauthorized access, misuse of ePHI, policy violations, and anomalous activity patterns. Regular audit log review is a critical component of the practice's HIPAA compliance program and supports early detection of potential breaches.</w:t>
      </w:r>
    </w:p>
    <w:p>
      <w:pPr>
        <w:spacing w:after="100" w:before="0"/>
      </w:pPr>
      <w:r>
        <w:rPr>
          <w:rFonts w:ascii="Arial" w:cs="Arial" w:eastAsia="Arial" w:hAnsi="Arial"/>
          <w:color w:val="334155"/>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3C5FD" w:sz="4"/>
              <w:left w:val="single" w:color="93C5FD" w:sz="4"/>
              <w:bottom w:val="single" w:color="93C5FD" w:sz="4"/>
              <w:right w:val="single" w:color="93C5FD" w:sz="4"/>
            </w:tcBorders>
            <w:shd w:fill="DBEAFE" w:val="clear"/>
            <w:tcMar>
              <w:top w:type="dxa" w:w="120"/>
              <w:left w:type="dxa" w:w="160"/>
              <w:bottom w:type="dxa" w:w="120"/>
              <w:right w:type="dxa" w:w="160"/>
            </w:tcMar>
          </w:tcPr>
          <w:p>
            <w:pPr>
              <w:spacing w:after="60" w:before="60"/>
            </w:pPr>
            <w:r>
              <w:rPr>
                <w:rFonts w:ascii="Arial" w:cs="Arial" w:eastAsia="Arial" w:hAnsi="Arial"/>
                <w:color w:val="334155"/>
                <w:sz w:val="22"/>
                <w:szCs w:val="22"/>
              </w:rPr>
              <w:t xml:space="preserve">Regulatory Basis: 45 C.F.R. § 164.312(b) — Audit Controls (Required): Implement hardware, software, and/or procedural mechanisms to record and examine activity in information systems containing ePHI. 45 C.F.R. § 164.308(a)(1)(ii)(D) — Information System Activity Review (Required).</w:t>
            </w:r>
          </w:p>
        </w:tc>
      </w:tr>
    </w:tbl>
    <w:p>
      <w:pPr>
        <w:spacing w:after="100" w:before="0"/>
      </w:pPr>
      <w:r>
        <w:rPr>
          <w:rFonts w:ascii="Arial" w:cs="Arial" w:eastAsia="Arial" w:hAnsi="Arial"/>
          <w:color w:val="334155"/>
          <w:sz w:val="22"/>
          <w:szCs w:val="22"/>
        </w:rPr>
        <w:t xml:space="preserve"/>
      </w:r>
    </w:p>
    <w:p>
      <w:pPr>
        <w:pStyle w:val="Heading1"/>
        <w:pBdr>
          <w:bottom w:val="single" w:color="1E3A5F" w:sz="6" w:space="4"/>
        </w:pBdr>
        <w:spacing w:after="100" w:before="320"/>
      </w:pPr>
      <w:r>
        <w:rPr>
          <w:rFonts w:ascii="Arial" w:cs="Arial" w:eastAsia="Arial" w:hAnsi="Arial"/>
          <w:b/>
          <w:bCs/>
          <w:color w:val="1E3A5F"/>
          <w:sz w:val="28"/>
          <w:szCs w:val="28"/>
        </w:rPr>
        <w:t xml:space="preserve">2. Scope</w:t>
      </w:r>
    </w:p>
    <w:p>
      <w:pPr>
        <w:spacing w:after="60" w:before="60"/>
      </w:pPr>
      <w:r>
        <w:rPr>
          <w:rFonts w:ascii="Arial" w:cs="Arial" w:eastAsia="Arial" w:hAnsi="Arial"/>
          <w:color w:val="334155"/>
          <w:sz w:val="22"/>
          <w:szCs w:val="22"/>
        </w:rPr>
        <w:t xml:space="preserve">Applies to all audit logs generated by the MedFlow EMR system, including:</w:t>
      </w:r>
    </w:p>
    <w:p>
      <w:pPr>
        <w:pStyle w:val="ListParagraph"/>
        <w:numPr>
          <w:ilvl w:val="0"/>
          <w:numId w:val="2"/>
        </w:numPr>
        <w:spacing w:after="40" w:before="40"/>
      </w:pPr>
      <w:r>
        <w:rPr>
          <w:rFonts w:ascii="Arial" w:cs="Arial" w:eastAsia="Arial" w:hAnsi="Arial"/>
          <w:color w:val="334155"/>
          <w:sz w:val="22"/>
          <w:szCs w:val="22"/>
        </w:rPr>
        <w:t xml:space="preserve">User authentication events (logins, failed logins, MFA events, logouts)</w:t>
      </w:r>
    </w:p>
    <w:p>
      <w:pPr>
        <w:pStyle w:val="ListParagraph"/>
        <w:numPr>
          <w:ilvl w:val="0"/>
          <w:numId w:val="2"/>
        </w:numPr>
        <w:spacing w:after="40" w:before="40"/>
      </w:pPr>
      <w:r>
        <w:rPr>
          <w:rFonts w:ascii="Arial" w:cs="Arial" w:eastAsia="Arial" w:hAnsi="Arial"/>
          <w:color w:val="334155"/>
          <w:sz w:val="22"/>
          <w:szCs w:val="22"/>
        </w:rPr>
        <w:t xml:space="preserve">Patient record access, creation, modification, and deletion</w:t>
      </w:r>
    </w:p>
    <w:p>
      <w:pPr>
        <w:pStyle w:val="ListParagraph"/>
        <w:numPr>
          <w:ilvl w:val="0"/>
          <w:numId w:val="2"/>
        </w:numPr>
        <w:spacing w:after="40" w:before="40"/>
      </w:pPr>
      <w:r>
        <w:rPr>
          <w:rFonts w:ascii="Arial" w:cs="Arial" w:eastAsia="Arial" w:hAnsi="Arial"/>
          <w:color w:val="334155"/>
          <w:sz w:val="22"/>
          <w:szCs w:val="22"/>
        </w:rPr>
        <w:t xml:space="preserve">Clinical notes, lab orders, imaging orders, and prescription actions</w:t>
      </w:r>
    </w:p>
    <w:p>
      <w:pPr>
        <w:pStyle w:val="ListParagraph"/>
        <w:numPr>
          <w:ilvl w:val="0"/>
          <w:numId w:val="2"/>
        </w:numPr>
        <w:spacing w:after="40" w:before="40"/>
      </w:pPr>
      <w:r>
        <w:rPr>
          <w:rFonts w:ascii="Arial" w:cs="Arial" w:eastAsia="Arial" w:hAnsi="Arial"/>
          <w:color w:val="334155"/>
          <w:sz w:val="22"/>
          <w:szCs w:val="22"/>
        </w:rPr>
        <w:t xml:space="preserve">Fax transmission events</w:t>
      </w:r>
    </w:p>
    <w:p>
      <w:pPr>
        <w:pStyle w:val="ListParagraph"/>
        <w:numPr>
          <w:ilvl w:val="0"/>
          <w:numId w:val="2"/>
        </w:numPr>
        <w:spacing w:after="40" w:before="40"/>
      </w:pPr>
      <w:r>
        <w:rPr>
          <w:rFonts w:ascii="Arial" w:cs="Arial" w:eastAsia="Arial" w:hAnsi="Arial"/>
          <w:color w:val="334155"/>
          <w:sz w:val="22"/>
          <w:szCs w:val="22"/>
        </w:rPr>
        <w:t xml:space="preserve">User account management actions (create, modify, disable)</w:t>
      </w:r>
    </w:p>
    <w:p>
      <w:pPr>
        <w:pStyle w:val="ListParagraph"/>
        <w:numPr>
          <w:ilvl w:val="0"/>
          <w:numId w:val="2"/>
        </w:numPr>
        <w:spacing w:after="40" w:before="40"/>
      </w:pPr>
      <w:r>
        <w:rPr>
          <w:rFonts w:ascii="Arial" w:cs="Arial" w:eastAsia="Arial" w:hAnsi="Arial"/>
          <w:color w:val="334155"/>
          <w:sz w:val="22"/>
          <w:szCs w:val="22"/>
        </w:rPr>
        <w:t xml:space="preserve">Portal access and patient portal authentication events</w:t>
      </w:r>
    </w:p>
    <w:p>
      <w:pPr>
        <w:spacing w:after="100" w:before="0"/>
      </w:pPr>
      <w:r>
        <w:rPr>
          <w:rFonts w:ascii="Arial" w:cs="Arial" w:eastAsia="Arial" w:hAnsi="Arial"/>
          <w:color w:val="334155"/>
          <w:sz w:val="22"/>
          <w:szCs w:val="22"/>
        </w:rPr>
        <w:t xml:space="preserve"/>
      </w:r>
    </w:p>
    <w:p>
      <w:pPr>
        <w:pStyle w:val="Heading1"/>
        <w:pBdr>
          <w:bottom w:val="single" w:color="1E3A5F" w:sz="6" w:space="4"/>
        </w:pBdr>
        <w:spacing w:after="100" w:before="320"/>
      </w:pPr>
      <w:r>
        <w:rPr>
          <w:rFonts w:ascii="Arial" w:cs="Arial" w:eastAsia="Arial" w:hAnsi="Arial"/>
          <w:b/>
          <w:bCs/>
          <w:color w:val="1E3A5F"/>
          <w:sz w:val="28"/>
          <w:szCs w:val="28"/>
        </w:rPr>
        <w:t xml:space="preserve">3. Audit Log Contents</w:t>
      </w:r>
    </w:p>
    <w:p>
      <w:pPr>
        <w:spacing w:after="60" w:before="60"/>
      </w:pPr>
      <w:r>
        <w:rPr>
          <w:rFonts w:ascii="Arial" w:cs="Arial" w:eastAsia="Arial" w:hAnsi="Arial"/>
          <w:color w:val="334155"/>
          <w:sz w:val="22"/>
          <w:szCs w:val="22"/>
        </w:rPr>
        <w:t xml:space="preserve">The MedFlow EMR AuditLog records the following for each event: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4"/>
              <w:left w:val="single" w:color="CBD5E1" w:sz="4"/>
              <w:bottom w:val="single" w:color="CBD5E1" w:sz="4"/>
              <w:right w:val="single" w:color="CBD5E1" w:sz="4"/>
            </w:tcBorders>
            <w:shd w:fill="1E3A5F" w:val="clear"/>
            <w:tcMar>
              <w:top w:type="dxa" w:w="80"/>
              <w:left w:type="dxa" w:w="130"/>
              <w:bottom w:type="dxa" w:w="80"/>
              <w:right w:type="dxa" w:w="130"/>
            </w:tcMar>
          </w:tcPr>
          <w:p>
            <w:r>
              <w:rPr>
                <w:rFonts w:ascii="Arial" w:cs="Arial" w:eastAsia="Arial" w:hAnsi="Arial"/>
                <w:b/>
                <w:bCs/>
                <w:color w:val="FFFFFF"/>
                <w:sz w:val="21"/>
                <w:szCs w:val="21"/>
              </w:rPr>
              <w:t xml:space="preserve">Field</w:t>
            </w:r>
          </w:p>
        </w:tc>
        <w:tc>
          <w:tcPr>
            <w:tcW w:type="dxa" w:w="7160"/>
            <w:tcBorders>
              <w:top w:val="single" w:color="CBD5E1" w:sz="4"/>
              <w:left w:val="single" w:color="CBD5E1" w:sz="4"/>
              <w:bottom w:val="single" w:color="CBD5E1" w:sz="4"/>
              <w:right w:val="single" w:color="CBD5E1" w:sz="4"/>
            </w:tcBorders>
            <w:shd w:fill="1E3A5F" w:val="clear"/>
            <w:tcMar>
              <w:top w:type="dxa" w:w="80"/>
              <w:left w:type="dxa" w:w="130"/>
              <w:bottom w:type="dxa" w:w="80"/>
              <w:right w:type="dxa" w:w="130"/>
            </w:tcMar>
          </w:tcPr>
          <w:p>
            <w:r>
              <w:rPr>
                <w:rFonts w:ascii="Arial" w:cs="Arial" w:eastAsia="Arial" w:hAnsi="Arial"/>
                <w:b/>
                <w:bCs/>
                <w:color w:val="FFFFFF"/>
                <w:sz w:val="21"/>
                <w:szCs w:val="21"/>
              </w:rPr>
              <w:t xml:space="preserve">Description</w:t>
            </w:r>
          </w:p>
        </w:tc>
      </w:tr>
      <w:tr>
        <w:tc>
          <w:tcPr>
            <w:tcW w:type="dxa" w:w="2200"/>
            <w:tcBorders>
              <w:top w:val="single" w:color="CBD5E1" w:sz="4"/>
              <w:left w:val="single" w:color="CBD5E1" w:sz="4"/>
              <w:bottom w:val="single" w:color="CBD5E1" w:sz="4"/>
              <w:right w:val="single" w:color="CBD5E1" w:sz="4"/>
            </w:tcBorders>
            <w:shd w:fill="F8FAFC" w:val="clear"/>
            <w:tcMar>
              <w:top w:type="dxa" w:w="80"/>
              <w:left w:type="dxa" w:w="130"/>
              <w:bottom w:type="dxa" w:w="80"/>
              <w:right w:type="dxa" w:w="130"/>
            </w:tcMar>
          </w:tcPr>
          <w:p>
            <w:r>
              <w:rPr>
                <w:rFonts w:ascii="Arial" w:cs="Arial" w:eastAsia="Arial" w:hAnsi="Arial"/>
                <w:b w:val="false"/>
                <w:bCs w:val="false"/>
                <w:color w:val="334155"/>
                <w:sz w:val="21"/>
                <w:szCs w:val="21"/>
              </w:rPr>
              <w:t xml:space="preserve">Timestamp</w:t>
            </w:r>
          </w:p>
        </w:tc>
        <w:tc>
          <w:tcPr>
            <w:tcW w:type="dxa" w:w="7160"/>
            <w:tcBorders>
              <w:top w:val="single" w:color="CBD5E1" w:sz="4"/>
              <w:left w:val="single" w:color="CBD5E1" w:sz="4"/>
              <w:bottom w:val="single" w:color="CBD5E1" w:sz="4"/>
              <w:right w:val="single" w:color="CBD5E1" w:sz="4"/>
            </w:tcBorders>
            <w:shd w:fill="FFFFFF" w:val="clear"/>
            <w:tcMar>
              <w:top w:type="dxa" w:w="80"/>
              <w:left w:type="dxa" w:w="130"/>
              <w:bottom w:type="dxa" w:w="80"/>
              <w:right w:type="dxa" w:w="130"/>
            </w:tcMar>
          </w:tcPr>
          <w:p>
            <w:r>
              <w:rPr>
                <w:rFonts w:ascii="Arial" w:cs="Arial" w:eastAsia="Arial" w:hAnsi="Arial"/>
                <w:b w:val="false"/>
                <w:bCs w:val="false"/>
                <w:color w:val="334155"/>
                <w:sz w:val="21"/>
                <w:szCs w:val="21"/>
              </w:rPr>
              <w:t xml:space="preserve">Date and time of event (UTC)</w:t>
            </w:r>
          </w:p>
        </w:tc>
      </w:tr>
      <w:tr>
        <w:tc>
          <w:tcPr>
            <w:tcW w:type="dxa" w:w="2200"/>
            <w:tcBorders>
              <w:top w:val="single" w:color="CBD5E1" w:sz="4"/>
              <w:left w:val="single" w:color="CBD5E1" w:sz="4"/>
              <w:bottom w:val="single" w:color="CBD5E1" w:sz="4"/>
              <w:right w:val="single" w:color="CBD5E1" w:sz="4"/>
            </w:tcBorders>
            <w:shd w:fill="F8FAFC" w:val="clear"/>
            <w:tcMar>
              <w:top w:type="dxa" w:w="80"/>
              <w:left w:type="dxa" w:w="130"/>
              <w:bottom w:type="dxa" w:w="80"/>
              <w:right w:type="dxa" w:w="130"/>
            </w:tcMar>
          </w:tcPr>
          <w:p>
            <w:r>
              <w:rPr>
                <w:rFonts w:ascii="Arial" w:cs="Arial" w:eastAsia="Arial" w:hAnsi="Arial"/>
                <w:b w:val="false"/>
                <w:bCs w:val="false"/>
                <w:color w:val="334155"/>
                <w:sz w:val="21"/>
                <w:szCs w:val="21"/>
              </w:rPr>
              <w:t xml:space="preserve">User ID</w:t>
            </w:r>
          </w:p>
        </w:tc>
        <w:tc>
          <w:tcPr>
            <w:tcW w:type="dxa" w:w="7160"/>
            <w:tcBorders>
              <w:top w:val="single" w:color="CBD5E1" w:sz="4"/>
              <w:left w:val="single" w:color="CBD5E1" w:sz="4"/>
              <w:bottom w:val="single" w:color="CBD5E1" w:sz="4"/>
              <w:right w:val="single" w:color="CBD5E1" w:sz="4"/>
            </w:tcBorders>
            <w:shd w:fill="FFFFFF" w:val="clear"/>
            <w:tcMar>
              <w:top w:type="dxa" w:w="80"/>
              <w:left w:type="dxa" w:w="130"/>
              <w:bottom w:type="dxa" w:w="80"/>
              <w:right w:type="dxa" w:w="130"/>
            </w:tcMar>
          </w:tcPr>
          <w:p>
            <w:r>
              <w:rPr>
                <w:rFonts w:ascii="Arial" w:cs="Arial" w:eastAsia="Arial" w:hAnsi="Arial"/>
                <w:b w:val="false"/>
                <w:bCs w:val="false"/>
                <w:color w:val="334155"/>
                <w:sz w:val="21"/>
                <w:szCs w:val="21"/>
              </w:rPr>
              <w:t xml:space="preserve">Unique identifier of the workforce member who performed the action</w:t>
            </w:r>
          </w:p>
        </w:tc>
      </w:tr>
      <w:tr>
        <w:tc>
          <w:tcPr>
            <w:tcW w:type="dxa" w:w="2200"/>
            <w:tcBorders>
              <w:top w:val="single" w:color="CBD5E1" w:sz="4"/>
              <w:left w:val="single" w:color="CBD5E1" w:sz="4"/>
              <w:bottom w:val="single" w:color="CBD5E1" w:sz="4"/>
              <w:right w:val="single" w:color="CBD5E1" w:sz="4"/>
            </w:tcBorders>
            <w:shd w:fill="F8FAFC" w:val="clear"/>
            <w:tcMar>
              <w:top w:type="dxa" w:w="80"/>
              <w:left w:type="dxa" w:w="130"/>
              <w:bottom w:type="dxa" w:w="80"/>
              <w:right w:type="dxa" w:w="130"/>
            </w:tcMar>
          </w:tcPr>
          <w:p>
            <w:r>
              <w:rPr>
                <w:rFonts w:ascii="Arial" w:cs="Arial" w:eastAsia="Arial" w:hAnsi="Arial"/>
                <w:b w:val="false"/>
                <w:bCs w:val="false"/>
                <w:color w:val="334155"/>
                <w:sz w:val="21"/>
                <w:szCs w:val="21"/>
              </w:rPr>
              <w:t xml:space="preserve">Action</w:t>
            </w:r>
          </w:p>
        </w:tc>
        <w:tc>
          <w:tcPr>
            <w:tcW w:type="dxa" w:w="7160"/>
            <w:tcBorders>
              <w:top w:val="single" w:color="CBD5E1" w:sz="4"/>
              <w:left w:val="single" w:color="CBD5E1" w:sz="4"/>
              <w:bottom w:val="single" w:color="CBD5E1" w:sz="4"/>
              <w:right w:val="single" w:color="CBD5E1" w:sz="4"/>
            </w:tcBorders>
            <w:shd w:fill="FFFFFF" w:val="clear"/>
            <w:tcMar>
              <w:top w:type="dxa" w:w="80"/>
              <w:left w:type="dxa" w:w="130"/>
              <w:bottom w:type="dxa" w:w="80"/>
              <w:right w:type="dxa" w:w="130"/>
            </w:tcMar>
          </w:tcPr>
          <w:p>
            <w:r>
              <w:rPr>
                <w:rFonts w:ascii="Arial" w:cs="Arial" w:eastAsia="Arial" w:hAnsi="Arial"/>
                <w:b w:val="false"/>
                <w:bCs w:val="false"/>
                <w:color w:val="334155"/>
                <w:sz w:val="21"/>
                <w:szCs w:val="21"/>
              </w:rPr>
              <w:t xml:space="preserve">Type of action performed (e.g., LOGIN, VIEW_PATIENT, CREATE_NOTE, FAX_SENT)</w:t>
            </w:r>
          </w:p>
        </w:tc>
      </w:tr>
      <w:tr>
        <w:tc>
          <w:tcPr>
            <w:tcW w:type="dxa" w:w="2200"/>
            <w:tcBorders>
              <w:top w:val="single" w:color="CBD5E1" w:sz="4"/>
              <w:left w:val="single" w:color="CBD5E1" w:sz="4"/>
              <w:bottom w:val="single" w:color="CBD5E1" w:sz="4"/>
              <w:right w:val="single" w:color="CBD5E1" w:sz="4"/>
            </w:tcBorders>
            <w:shd w:fill="F8FAFC" w:val="clear"/>
            <w:tcMar>
              <w:top w:type="dxa" w:w="80"/>
              <w:left w:type="dxa" w:w="130"/>
              <w:bottom w:type="dxa" w:w="80"/>
              <w:right w:type="dxa" w:w="130"/>
            </w:tcMar>
          </w:tcPr>
          <w:p>
            <w:r>
              <w:rPr>
                <w:rFonts w:ascii="Arial" w:cs="Arial" w:eastAsia="Arial" w:hAnsi="Arial"/>
                <w:b w:val="false"/>
                <w:bCs w:val="false"/>
                <w:color w:val="334155"/>
                <w:sz w:val="21"/>
                <w:szCs w:val="21"/>
              </w:rPr>
              <w:t xml:space="preserve">Resource Type</w:t>
            </w:r>
          </w:p>
        </w:tc>
        <w:tc>
          <w:tcPr>
            <w:tcW w:type="dxa" w:w="7160"/>
            <w:tcBorders>
              <w:top w:val="single" w:color="CBD5E1" w:sz="4"/>
              <w:left w:val="single" w:color="CBD5E1" w:sz="4"/>
              <w:bottom w:val="single" w:color="CBD5E1" w:sz="4"/>
              <w:right w:val="single" w:color="CBD5E1" w:sz="4"/>
            </w:tcBorders>
            <w:shd w:fill="FFFFFF" w:val="clear"/>
            <w:tcMar>
              <w:top w:type="dxa" w:w="80"/>
              <w:left w:type="dxa" w:w="130"/>
              <w:bottom w:type="dxa" w:w="80"/>
              <w:right w:type="dxa" w:w="130"/>
            </w:tcMar>
          </w:tcPr>
          <w:p>
            <w:r>
              <w:rPr>
                <w:rFonts w:ascii="Arial" w:cs="Arial" w:eastAsia="Arial" w:hAnsi="Arial"/>
                <w:b w:val="false"/>
                <w:bCs w:val="false"/>
                <w:color w:val="334155"/>
                <w:sz w:val="21"/>
                <w:szCs w:val="21"/>
              </w:rPr>
              <w:t xml:space="preserve">Type of record accessed (Patient, ClinicalNote, ImagingOrder, etc.)</w:t>
            </w:r>
          </w:p>
        </w:tc>
      </w:tr>
      <w:tr>
        <w:tc>
          <w:tcPr>
            <w:tcW w:type="dxa" w:w="2200"/>
            <w:tcBorders>
              <w:top w:val="single" w:color="CBD5E1" w:sz="4"/>
              <w:left w:val="single" w:color="CBD5E1" w:sz="4"/>
              <w:bottom w:val="single" w:color="CBD5E1" w:sz="4"/>
              <w:right w:val="single" w:color="CBD5E1" w:sz="4"/>
            </w:tcBorders>
            <w:shd w:fill="F8FAFC" w:val="clear"/>
            <w:tcMar>
              <w:top w:type="dxa" w:w="80"/>
              <w:left w:type="dxa" w:w="130"/>
              <w:bottom w:type="dxa" w:w="80"/>
              <w:right w:type="dxa" w:w="130"/>
            </w:tcMar>
          </w:tcPr>
          <w:p>
            <w:r>
              <w:rPr>
                <w:rFonts w:ascii="Arial" w:cs="Arial" w:eastAsia="Arial" w:hAnsi="Arial"/>
                <w:b w:val="false"/>
                <w:bCs w:val="false"/>
                <w:color w:val="334155"/>
                <w:sz w:val="21"/>
                <w:szCs w:val="21"/>
              </w:rPr>
              <w:t xml:space="preserve">Resource ID</w:t>
            </w:r>
          </w:p>
        </w:tc>
        <w:tc>
          <w:tcPr>
            <w:tcW w:type="dxa" w:w="7160"/>
            <w:tcBorders>
              <w:top w:val="single" w:color="CBD5E1" w:sz="4"/>
              <w:left w:val="single" w:color="CBD5E1" w:sz="4"/>
              <w:bottom w:val="single" w:color="CBD5E1" w:sz="4"/>
              <w:right w:val="single" w:color="CBD5E1" w:sz="4"/>
            </w:tcBorders>
            <w:shd w:fill="FFFFFF" w:val="clear"/>
            <w:tcMar>
              <w:top w:type="dxa" w:w="80"/>
              <w:left w:type="dxa" w:w="130"/>
              <w:bottom w:type="dxa" w:w="80"/>
              <w:right w:type="dxa" w:w="130"/>
            </w:tcMar>
          </w:tcPr>
          <w:p>
            <w:r>
              <w:rPr>
                <w:rFonts w:ascii="Arial" w:cs="Arial" w:eastAsia="Arial" w:hAnsi="Arial"/>
                <w:b w:val="false"/>
                <w:bCs w:val="false"/>
                <w:color w:val="334155"/>
                <w:sz w:val="21"/>
                <w:szCs w:val="21"/>
              </w:rPr>
              <w:t xml:space="preserve">Unique identifier of the specific record affected</w:t>
            </w:r>
          </w:p>
        </w:tc>
      </w:tr>
      <w:tr>
        <w:tc>
          <w:tcPr>
            <w:tcW w:type="dxa" w:w="2200"/>
            <w:tcBorders>
              <w:top w:val="single" w:color="CBD5E1" w:sz="4"/>
              <w:left w:val="single" w:color="CBD5E1" w:sz="4"/>
              <w:bottom w:val="single" w:color="CBD5E1" w:sz="4"/>
              <w:right w:val="single" w:color="CBD5E1" w:sz="4"/>
            </w:tcBorders>
            <w:shd w:fill="F8FAFC" w:val="clear"/>
            <w:tcMar>
              <w:top w:type="dxa" w:w="80"/>
              <w:left w:type="dxa" w:w="130"/>
              <w:bottom w:type="dxa" w:w="80"/>
              <w:right w:type="dxa" w:w="130"/>
            </w:tcMar>
          </w:tcPr>
          <w:p>
            <w:r>
              <w:rPr>
                <w:rFonts w:ascii="Arial" w:cs="Arial" w:eastAsia="Arial" w:hAnsi="Arial"/>
                <w:b w:val="false"/>
                <w:bCs w:val="false"/>
                <w:color w:val="334155"/>
                <w:sz w:val="21"/>
                <w:szCs w:val="21"/>
              </w:rPr>
              <w:t xml:space="preserve">IP Address</w:t>
            </w:r>
          </w:p>
        </w:tc>
        <w:tc>
          <w:tcPr>
            <w:tcW w:type="dxa" w:w="7160"/>
            <w:tcBorders>
              <w:top w:val="single" w:color="CBD5E1" w:sz="4"/>
              <w:left w:val="single" w:color="CBD5E1" w:sz="4"/>
              <w:bottom w:val="single" w:color="CBD5E1" w:sz="4"/>
              <w:right w:val="single" w:color="CBD5E1" w:sz="4"/>
            </w:tcBorders>
            <w:shd w:fill="FFFFFF" w:val="clear"/>
            <w:tcMar>
              <w:top w:type="dxa" w:w="80"/>
              <w:left w:type="dxa" w:w="130"/>
              <w:bottom w:type="dxa" w:w="80"/>
              <w:right w:type="dxa" w:w="130"/>
            </w:tcMar>
          </w:tcPr>
          <w:p>
            <w:r>
              <w:rPr>
                <w:rFonts w:ascii="Arial" w:cs="Arial" w:eastAsia="Arial" w:hAnsi="Arial"/>
                <w:b w:val="false"/>
                <w:bCs w:val="false"/>
                <w:color w:val="334155"/>
                <w:sz w:val="21"/>
                <w:szCs w:val="21"/>
              </w:rPr>
              <w:t xml:space="preserve">Network address from which the action was performed</w:t>
            </w:r>
          </w:p>
        </w:tc>
      </w:tr>
      <w:tr>
        <w:tc>
          <w:tcPr>
            <w:tcW w:type="dxa" w:w="2200"/>
            <w:tcBorders>
              <w:top w:val="single" w:color="CBD5E1" w:sz="4"/>
              <w:left w:val="single" w:color="CBD5E1" w:sz="4"/>
              <w:bottom w:val="single" w:color="CBD5E1" w:sz="4"/>
              <w:right w:val="single" w:color="CBD5E1" w:sz="4"/>
            </w:tcBorders>
            <w:shd w:fill="F8FAFC" w:val="clear"/>
            <w:tcMar>
              <w:top w:type="dxa" w:w="80"/>
              <w:left w:type="dxa" w:w="130"/>
              <w:bottom w:type="dxa" w:w="80"/>
              <w:right w:type="dxa" w:w="130"/>
            </w:tcMar>
          </w:tcPr>
          <w:p>
            <w:r>
              <w:rPr>
                <w:rFonts w:ascii="Arial" w:cs="Arial" w:eastAsia="Arial" w:hAnsi="Arial"/>
                <w:b w:val="false"/>
                <w:bCs w:val="false"/>
                <w:color w:val="334155"/>
                <w:sz w:val="21"/>
                <w:szCs w:val="21"/>
              </w:rPr>
              <w:t xml:space="preserve">Details</w:t>
            </w:r>
          </w:p>
        </w:tc>
        <w:tc>
          <w:tcPr>
            <w:tcW w:type="dxa" w:w="7160"/>
            <w:tcBorders>
              <w:top w:val="single" w:color="CBD5E1" w:sz="4"/>
              <w:left w:val="single" w:color="CBD5E1" w:sz="4"/>
              <w:bottom w:val="single" w:color="CBD5E1" w:sz="4"/>
              <w:right w:val="single" w:color="CBD5E1" w:sz="4"/>
            </w:tcBorders>
            <w:shd w:fill="FFFFFF" w:val="clear"/>
            <w:tcMar>
              <w:top w:type="dxa" w:w="80"/>
              <w:left w:type="dxa" w:w="130"/>
              <w:bottom w:type="dxa" w:w="80"/>
              <w:right w:type="dxa" w:w="130"/>
            </w:tcMar>
          </w:tcPr>
          <w:p>
            <w:r>
              <w:rPr>
                <w:rFonts w:ascii="Arial" w:cs="Arial" w:eastAsia="Arial" w:hAnsi="Arial"/>
                <w:b w:val="false"/>
                <w:bCs w:val="false"/>
                <w:color w:val="334155"/>
                <w:sz w:val="21"/>
                <w:szCs w:val="21"/>
              </w:rPr>
              <w:t xml:space="preserve">Additional context (search query, field changed, error message, etc.)</w:t>
            </w:r>
          </w:p>
        </w:tc>
      </w:tr>
    </w:tbl>
    <w:p>
      <w:pPr>
        <w:spacing w:after="100" w:before="0"/>
      </w:pPr>
      <w:r>
        <w:rPr>
          <w:rFonts w:ascii="Arial" w:cs="Arial" w:eastAsia="Arial" w:hAnsi="Arial"/>
          <w:color w:val="334155"/>
          <w:sz w:val="22"/>
          <w:szCs w:val="22"/>
        </w:rPr>
        <w:t xml:space="preserve"/>
      </w:r>
    </w:p>
    <w:p>
      <w:pPr>
        <w:pStyle w:val="Heading1"/>
        <w:pBdr>
          <w:bottom w:val="single" w:color="1E3A5F" w:sz="6" w:space="4"/>
        </w:pBdr>
        <w:spacing w:after="100" w:before="320"/>
      </w:pPr>
      <w:r>
        <w:rPr>
          <w:rFonts w:ascii="Arial" w:cs="Arial" w:eastAsia="Arial" w:hAnsi="Arial"/>
          <w:b/>
          <w:bCs/>
          <w:color w:val="1E3A5F"/>
          <w:sz w:val="28"/>
          <w:szCs w:val="28"/>
        </w:rPr>
        <w:t xml:space="preserve">4. Review Schedule</w:t>
      </w:r>
    </w:p>
    <w:p>
      <w:pPr>
        <w:pStyle w:val="Heading2"/>
        <w:spacing w:after="80" w:before="220"/>
      </w:pPr>
      <w:r>
        <w:rPr>
          <w:rFonts w:ascii="Arial" w:cs="Arial" w:eastAsia="Arial" w:hAnsi="Arial"/>
          <w:b/>
          <w:bCs/>
          <w:color w:val="334155"/>
          <w:sz w:val="24"/>
          <w:szCs w:val="24"/>
        </w:rPr>
        <w:t xml:space="preserve">4.1  Weekly Review (Routine)</w:t>
      </w:r>
    </w:p>
    <w:p>
      <w:pPr>
        <w:spacing w:after="60" w:before="60"/>
      </w:pPr>
      <w:r>
        <w:rPr>
          <w:rFonts w:ascii="Arial" w:cs="Arial" w:eastAsia="Arial" w:hAnsi="Arial"/>
          <w:color w:val="334155"/>
          <w:sz w:val="22"/>
          <w:szCs w:val="22"/>
        </w:rPr>
        <w:t xml:space="preserve">The Privacy/Security Officer or designated reviewer must conduct a weekly review of audit logs covering the prior seven (7) days. The review must specifically examine:</w:t>
      </w:r>
    </w:p>
    <w:p>
      <w:pPr>
        <w:pStyle w:val="ListParagraph"/>
        <w:numPr>
          <w:ilvl w:val="0"/>
          <w:numId w:val="2"/>
        </w:numPr>
        <w:spacing w:after="40" w:before="40"/>
      </w:pPr>
      <w:r>
        <w:rPr>
          <w:rFonts w:ascii="Arial" w:cs="Arial" w:eastAsia="Arial" w:hAnsi="Arial"/>
          <w:color w:val="334155"/>
          <w:sz w:val="22"/>
          <w:szCs w:val="22"/>
        </w:rPr>
        <w:t xml:space="preserve">Failed login attempts — more than 3 failures for any single account warrants investigation</w:t>
      </w:r>
    </w:p>
    <w:p>
      <w:pPr>
        <w:pStyle w:val="ListParagraph"/>
        <w:numPr>
          <w:ilvl w:val="0"/>
          <w:numId w:val="2"/>
        </w:numPr>
        <w:spacing w:after="40" w:before="40"/>
      </w:pPr>
      <w:r>
        <w:rPr>
          <w:rFonts w:ascii="Arial" w:cs="Arial" w:eastAsia="Arial" w:hAnsi="Arial"/>
          <w:color w:val="334155"/>
          <w:sz w:val="22"/>
          <w:szCs w:val="22"/>
        </w:rPr>
        <w:t xml:space="preserve">Access to patient records outside normal business hours (before 7 AM or after 8 PM)</w:t>
      </w:r>
    </w:p>
    <w:p>
      <w:pPr>
        <w:pStyle w:val="ListParagraph"/>
        <w:numPr>
          <w:ilvl w:val="0"/>
          <w:numId w:val="2"/>
        </w:numPr>
        <w:spacing w:after="40" w:before="40"/>
      </w:pPr>
      <w:r>
        <w:rPr>
          <w:rFonts w:ascii="Arial" w:cs="Arial" w:eastAsia="Arial" w:hAnsi="Arial"/>
          <w:color w:val="334155"/>
          <w:sz w:val="22"/>
          <w:szCs w:val="22"/>
        </w:rPr>
        <w:t xml:space="preserve">Bulk record access — any user accessing more than 20 patient records in a single session</w:t>
      </w:r>
    </w:p>
    <w:p>
      <w:pPr>
        <w:pStyle w:val="ListParagraph"/>
        <w:numPr>
          <w:ilvl w:val="0"/>
          <w:numId w:val="2"/>
        </w:numPr>
        <w:spacing w:after="40" w:before="40"/>
      </w:pPr>
      <w:r>
        <w:rPr>
          <w:rFonts w:ascii="Arial" w:cs="Arial" w:eastAsia="Arial" w:hAnsi="Arial"/>
          <w:color w:val="334155"/>
          <w:sz w:val="22"/>
          <w:szCs w:val="22"/>
        </w:rPr>
        <w:t xml:space="preserve">Access by recently onboarded users to verify appropriateness</w:t>
      </w:r>
    </w:p>
    <w:p>
      <w:pPr>
        <w:pStyle w:val="ListParagraph"/>
        <w:numPr>
          <w:ilvl w:val="0"/>
          <w:numId w:val="2"/>
        </w:numPr>
        <w:spacing w:after="40" w:before="40"/>
      </w:pPr>
      <w:r>
        <w:rPr>
          <w:rFonts w:ascii="Arial" w:cs="Arial" w:eastAsia="Arial" w:hAnsi="Arial"/>
          <w:color w:val="334155"/>
          <w:sz w:val="22"/>
          <w:szCs w:val="22"/>
        </w:rPr>
        <w:t xml:space="preserve">Any LOGIN_MFA_CHALLENGE events followed by no successful LOGIN (possible credential testing)</w:t>
      </w:r>
    </w:p>
    <w:p>
      <w:pPr>
        <w:spacing w:after="100" w:before="0"/>
      </w:pPr>
      <w:r>
        <w:rPr>
          <w:rFonts w:ascii="Arial" w:cs="Arial" w:eastAsia="Arial" w:hAnsi="Arial"/>
          <w:color w:val="334155"/>
          <w:sz w:val="22"/>
          <w:szCs w:val="22"/>
        </w:rPr>
        <w:t xml:space="preserve"/>
      </w:r>
    </w:p>
    <w:p>
      <w:pPr>
        <w:pStyle w:val="Heading2"/>
        <w:spacing w:after="80" w:before="220"/>
      </w:pPr>
      <w:r>
        <w:rPr>
          <w:rFonts w:ascii="Arial" w:cs="Arial" w:eastAsia="Arial" w:hAnsi="Arial"/>
          <w:b/>
          <w:bCs/>
          <w:color w:val="334155"/>
          <w:sz w:val="24"/>
          <w:szCs w:val="24"/>
        </w:rPr>
        <w:t xml:space="preserve">4.2  Monthly Review (Comprehensive)</w:t>
      </w:r>
    </w:p>
    <w:p>
      <w:pPr>
        <w:spacing w:after="60" w:before="60"/>
      </w:pPr>
      <w:r>
        <w:rPr>
          <w:rFonts w:ascii="Arial" w:cs="Arial" w:eastAsia="Arial" w:hAnsi="Arial"/>
          <w:color w:val="334155"/>
          <w:sz w:val="22"/>
          <w:szCs w:val="22"/>
        </w:rPr>
        <w:t xml:space="preserve">A comprehensive audit review must be conducted monthly, examining:</w:t>
      </w:r>
    </w:p>
    <w:p>
      <w:pPr>
        <w:pStyle w:val="ListParagraph"/>
        <w:numPr>
          <w:ilvl w:val="0"/>
          <w:numId w:val="2"/>
        </w:numPr>
        <w:spacing w:after="40" w:before="40"/>
      </w:pPr>
      <w:r>
        <w:rPr>
          <w:rFonts w:ascii="Arial" w:cs="Arial" w:eastAsia="Arial" w:hAnsi="Arial"/>
          <w:color w:val="334155"/>
          <w:sz w:val="22"/>
          <w:szCs w:val="22"/>
        </w:rPr>
        <w:t xml:space="preserve">All administrative actions: user creation, role changes, account disable/enable</w:t>
      </w:r>
    </w:p>
    <w:p>
      <w:pPr>
        <w:pStyle w:val="ListParagraph"/>
        <w:numPr>
          <w:ilvl w:val="0"/>
          <w:numId w:val="2"/>
        </w:numPr>
        <w:spacing w:after="40" w:before="40"/>
      </w:pPr>
      <w:r>
        <w:rPr>
          <w:rFonts w:ascii="Arial" w:cs="Arial" w:eastAsia="Arial" w:hAnsi="Arial"/>
          <w:color w:val="334155"/>
          <w:sz w:val="22"/>
          <w:szCs w:val="22"/>
        </w:rPr>
        <w:t xml:space="preserve">All password change events — verify no unauthorized changes occurred</w:t>
      </w:r>
    </w:p>
    <w:p>
      <w:pPr>
        <w:pStyle w:val="ListParagraph"/>
        <w:numPr>
          <w:ilvl w:val="0"/>
          <w:numId w:val="2"/>
        </w:numPr>
        <w:spacing w:after="40" w:before="40"/>
      </w:pPr>
      <w:r>
        <w:rPr>
          <w:rFonts w:ascii="Arial" w:cs="Arial" w:eastAsia="Arial" w:hAnsi="Arial"/>
          <w:color w:val="334155"/>
          <w:sz w:val="22"/>
          <w:szCs w:val="22"/>
        </w:rPr>
        <w:t xml:space="preserve">Fax transmission log — verify all faxes were sent to expected destinations</w:t>
      </w:r>
    </w:p>
    <w:p>
      <w:pPr>
        <w:pStyle w:val="ListParagraph"/>
        <w:numPr>
          <w:ilvl w:val="0"/>
          <w:numId w:val="2"/>
        </w:numPr>
        <w:spacing w:after="40" w:before="40"/>
      </w:pPr>
      <w:r>
        <w:rPr>
          <w:rFonts w:ascii="Arial" w:cs="Arial" w:eastAsia="Arial" w:hAnsi="Arial"/>
          <w:color w:val="334155"/>
          <w:sz w:val="22"/>
          <w:szCs w:val="22"/>
        </w:rPr>
        <w:t xml:space="preserve">Portal access patterns — confirm portal accounts are being used only by intended patients</w:t>
      </w:r>
    </w:p>
    <w:p>
      <w:pPr>
        <w:pStyle w:val="ListParagraph"/>
        <w:numPr>
          <w:ilvl w:val="0"/>
          <w:numId w:val="2"/>
        </w:numPr>
        <w:spacing w:after="40" w:before="40"/>
      </w:pPr>
      <w:r>
        <w:rPr>
          <w:rFonts w:ascii="Arial" w:cs="Arial" w:eastAsia="Arial" w:hAnsi="Arial"/>
          <w:color w:val="334155"/>
          <w:sz w:val="22"/>
          <w:szCs w:val="22"/>
        </w:rPr>
        <w:t xml:space="preserve">Cross-reference login activity against current workforce list — flag any logins by former employees</w:t>
      </w:r>
    </w:p>
    <w:p>
      <w:pPr>
        <w:spacing w:after="100" w:before="0"/>
      </w:pPr>
      <w:r>
        <w:rPr>
          <w:rFonts w:ascii="Arial" w:cs="Arial" w:eastAsia="Arial" w:hAnsi="Arial"/>
          <w:color w:val="334155"/>
          <w:sz w:val="22"/>
          <w:szCs w:val="22"/>
        </w:rPr>
        <w:t xml:space="preserve"/>
      </w:r>
    </w:p>
    <w:p>
      <w:pPr>
        <w:pStyle w:val="Heading2"/>
        <w:spacing w:after="80" w:before="220"/>
      </w:pPr>
      <w:r>
        <w:rPr>
          <w:rFonts w:ascii="Arial" w:cs="Arial" w:eastAsia="Arial" w:hAnsi="Arial"/>
          <w:b/>
          <w:bCs/>
          <w:color w:val="334155"/>
          <w:sz w:val="24"/>
          <w:szCs w:val="24"/>
        </w:rPr>
        <w:t xml:space="preserve">4.3  Event-Triggered Review (Immediate)</w:t>
      </w:r>
    </w:p>
    <w:p>
      <w:pPr>
        <w:spacing w:after="60" w:before="60"/>
      </w:pPr>
      <w:r>
        <w:rPr>
          <w:rFonts w:ascii="Arial" w:cs="Arial" w:eastAsia="Arial" w:hAnsi="Arial"/>
          <w:color w:val="334155"/>
          <w:sz w:val="22"/>
          <w:szCs w:val="22"/>
        </w:rPr>
        <w:t xml:space="preserve">An immediate audit log review must be conducted upon:</w:t>
      </w:r>
    </w:p>
    <w:p>
      <w:pPr>
        <w:pStyle w:val="ListParagraph"/>
        <w:numPr>
          <w:ilvl w:val="0"/>
          <w:numId w:val="2"/>
        </w:numPr>
        <w:spacing w:after="40" w:before="40"/>
      </w:pPr>
      <w:r>
        <w:rPr>
          <w:rFonts w:ascii="Arial" w:cs="Arial" w:eastAsia="Arial" w:hAnsi="Arial"/>
          <w:color w:val="334155"/>
          <w:sz w:val="22"/>
          <w:szCs w:val="22"/>
        </w:rPr>
        <w:t xml:space="preserve">Report of any security incident or suspected breach</w:t>
      </w:r>
    </w:p>
    <w:p>
      <w:pPr>
        <w:pStyle w:val="ListParagraph"/>
        <w:numPr>
          <w:ilvl w:val="0"/>
          <w:numId w:val="2"/>
        </w:numPr>
        <w:spacing w:after="40" w:before="40"/>
      </w:pPr>
      <w:r>
        <w:rPr>
          <w:rFonts w:ascii="Arial" w:cs="Arial" w:eastAsia="Arial" w:hAnsi="Arial"/>
          <w:color w:val="334155"/>
          <w:sz w:val="22"/>
          <w:szCs w:val="22"/>
        </w:rPr>
        <w:t xml:space="preserve">Discovery that a workforce member's credentials may have been compromised</w:t>
      </w:r>
    </w:p>
    <w:p>
      <w:pPr>
        <w:pStyle w:val="ListParagraph"/>
        <w:numPr>
          <w:ilvl w:val="0"/>
          <w:numId w:val="2"/>
        </w:numPr>
        <w:spacing w:after="40" w:before="40"/>
      </w:pPr>
      <w:r>
        <w:rPr>
          <w:rFonts w:ascii="Arial" w:cs="Arial" w:eastAsia="Arial" w:hAnsi="Arial"/>
          <w:color w:val="334155"/>
          <w:sz w:val="22"/>
          <w:szCs w:val="22"/>
        </w:rPr>
        <w:t xml:space="preserve">Termination of any workforce member with EMR access</w:t>
      </w:r>
    </w:p>
    <w:p>
      <w:pPr>
        <w:pStyle w:val="ListParagraph"/>
        <w:numPr>
          <w:ilvl w:val="0"/>
          <w:numId w:val="2"/>
        </w:numPr>
        <w:spacing w:after="40" w:before="40"/>
      </w:pPr>
      <w:r>
        <w:rPr>
          <w:rFonts w:ascii="Arial" w:cs="Arial" w:eastAsia="Arial" w:hAnsi="Arial"/>
          <w:color w:val="334155"/>
          <w:sz w:val="22"/>
          <w:szCs w:val="22"/>
        </w:rPr>
        <w:t xml:space="preserve">Receipt of a patient complaint regarding unauthorized access or disclosure</w:t>
      </w:r>
    </w:p>
    <w:p>
      <w:pPr>
        <w:spacing w:after="100" w:before="0"/>
      </w:pPr>
      <w:r>
        <w:rPr>
          <w:rFonts w:ascii="Arial" w:cs="Arial" w:eastAsia="Arial" w:hAnsi="Arial"/>
          <w:color w:val="334155"/>
          <w:sz w:val="22"/>
          <w:szCs w:val="22"/>
        </w:rPr>
        <w:t xml:space="preserve"/>
      </w:r>
    </w:p>
    <w:p>
      <w:pPr>
        <w:pStyle w:val="Heading1"/>
        <w:pBdr>
          <w:bottom w:val="single" w:color="1E3A5F" w:sz="6" w:space="4"/>
        </w:pBdr>
        <w:spacing w:after="100" w:before="320"/>
      </w:pPr>
      <w:r>
        <w:rPr>
          <w:rFonts w:ascii="Arial" w:cs="Arial" w:eastAsia="Arial" w:hAnsi="Arial"/>
          <w:b/>
          <w:bCs/>
          <w:color w:val="1E3A5F"/>
          <w:sz w:val="28"/>
          <w:szCs w:val="28"/>
        </w:rPr>
        <w:t xml:space="preserve">5. Anomaly Detection — Alert Triggers</w:t>
      </w:r>
    </w:p>
    <w:p>
      <w:pPr>
        <w:spacing w:after="60" w:before="60"/>
      </w:pPr>
      <w:r>
        <w:rPr>
          <w:rFonts w:ascii="Arial" w:cs="Arial" w:eastAsia="Arial" w:hAnsi="Arial"/>
          <w:color w:val="334155"/>
          <w:sz w:val="22"/>
          <w:szCs w:val="22"/>
        </w:rPr>
        <w:t xml:space="preserve">The following patterns require immediate escalation to the Practice Administrator: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BD5E1" w:sz="4"/>
              <w:left w:val="single" w:color="CBD5E1" w:sz="4"/>
              <w:bottom w:val="single" w:color="CBD5E1" w:sz="4"/>
              <w:right w:val="single" w:color="CBD5E1" w:sz="4"/>
            </w:tcBorders>
            <w:shd w:fill="1E3A5F" w:val="clear"/>
            <w:tcMar>
              <w:top w:type="dxa" w:w="80"/>
              <w:left w:type="dxa" w:w="130"/>
              <w:bottom w:type="dxa" w:w="80"/>
              <w:right w:type="dxa" w:w="130"/>
            </w:tcMar>
          </w:tcPr>
          <w:p>
            <w:r>
              <w:rPr>
                <w:rFonts w:ascii="Arial" w:cs="Arial" w:eastAsia="Arial" w:hAnsi="Arial"/>
                <w:b/>
                <w:bCs/>
                <w:color w:val="FFFFFF"/>
                <w:sz w:val="21"/>
                <w:szCs w:val="21"/>
              </w:rPr>
              <w:t xml:space="preserve">Pattern / Alert</w:t>
            </w:r>
          </w:p>
        </w:tc>
        <w:tc>
          <w:tcPr>
            <w:tcW w:type="dxa" w:w="6160"/>
            <w:tcBorders>
              <w:top w:val="single" w:color="CBD5E1" w:sz="4"/>
              <w:left w:val="single" w:color="CBD5E1" w:sz="4"/>
              <w:bottom w:val="single" w:color="CBD5E1" w:sz="4"/>
              <w:right w:val="single" w:color="CBD5E1" w:sz="4"/>
            </w:tcBorders>
            <w:shd w:fill="1E3A5F" w:val="clear"/>
            <w:tcMar>
              <w:top w:type="dxa" w:w="80"/>
              <w:left w:type="dxa" w:w="130"/>
              <w:bottom w:type="dxa" w:w="80"/>
              <w:right w:type="dxa" w:w="130"/>
            </w:tcMar>
          </w:tcPr>
          <w:p>
            <w:r>
              <w:rPr>
                <w:rFonts w:ascii="Arial" w:cs="Arial" w:eastAsia="Arial" w:hAnsi="Arial"/>
                <w:b/>
                <w:bCs/>
                <w:color w:val="FFFFFF"/>
                <w:sz w:val="21"/>
                <w:szCs w:val="21"/>
              </w:rPr>
              <w:t xml:space="preserve">Required Response</w:t>
            </w:r>
          </w:p>
        </w:tc>
      </w:tr>
      <w:tr>
        <w:tc>
          <w:tcPr>
            <w:tcW w:type="dxa" w:w="3200"/>
            <w:tcBorders>
              <w:top w:val="single" w:color="CBD5E1" w:sz="4"/>
              <w:left w:val="single" w:color="CBD5E1" w:sz="4"/>
              <w:bottom w:val="single" w:color="CBD5E1" w:sz="4"/>
              <w:right w:val="single" w:color="CBD5E1" w:sz="4"/>
            </w:tcBorders>
            <w:shd w:fill="F8FAFC" w:val="clear"/>
            <w:tcMar>
              <w:top w:type="dxa" w:w="80"/>
              <w:left w:type="dxa" w:w="130"/>
              <w:bottom w:type="dxa" w:w="80"/>
              <w:right w:type="dxa" w:w="130"/>
            </w:tcMar>
          </w:tcPr>
          <w:p>
            <w:r>
              <w:rPr>
                <w:rFonts w:ascii="Arial" w:cs="Arial" w:eastAsia="Arial" w:hAnsi="Arial"/>
                <w:b w:val="false"/>
                <w:bCs w:val="false"/>
                <w:color w:val="334155"/>
                <w:sz w:val="21"/>
                <w:szCs w:val="21"/>
              </w:rPr>
              <w:t xml:space="preserve">5+ failed logins from same IP within 10 minutes</w:t>
            </w:r>
          </w:p>
        </w:tc>
        <w:tc>
          <w:tcPr>
            <w:tcW w:type="dxa" w:w="6160"/>
            <w:tcBorders>
              <w:top w:val="single" w:color="CBD5E1" w:sz="4"/>
              <w:left w:val="single" w:color="CBD5E1" w:sz="4"/>
              <w:bottom w:val="single" w:color="CBD5E1" w:sz="4"/>
              <w:right w:val="single" w:color="CBD5E1" w:sz="4"/>
            </w:tcBorders>
            <w:shd w:fill="FFFFFF" w:val="clear"/>
            <w:tcMar>
              <w:top w:type="dxa" w:w="80"/>
              <w:left w:type="dxa" w:w="130"/>
              <w:bottom w:type="dxa" w:w="80"/>
              <w:right w:type="dxa" w:w="130"/>
            </w:tcMar>
          </w:tcPr>
          <w:p>
            <w:r>
              <w:rPr>
                <w:rFonts w:ascii="Arial" w:cs="Arial" w:eastAsia="Arial" w:hAnsi="Arial"/>
                <w:b w:val="false"/>
                <w:bCs w:val="false"/>
                <w:color w:val="334155"/>
                <w:sz w:val="21"/>
                <w:szCs w:val="21"/>
              </w:rPr>
              <w:t xml:space="preserve">Verify rate limiter triggered; investigate source IP; notify administrator</w:t>
            </w:r>
          </w:p>
        </w:tc>
      </w:tr>
      <w:tr>
        <w:tc>
          <w:tcPr>
            <w:tcW w:type="dxa" w:w="3200"/>
            <w:tcBorders>
              <w:top w:val="single" w:color="CBD5E1" w:sz="4"/>
              <w:left w:val="single" w:color="CBD5E1" w:sz="4"/>
              <w:bottom w:val="single" w:color="CBD5E1" w:sz="4"/>
              <w:right w:val="single" w:color="CBD5E1" w:sz="4"/>
            </w:tcBorders>
            <w:shd w:fill="F8FAFC" w:val="clear"/>
            <w:tcMar>
              <w:top w:type="dxa" w:w="80"/>
              <w:left w:type="dxa" w:w="130"/>
              <w:bottom w:type="dxa" w:w="80"/>
              <w:right w:type="dxa" w:w="130"/>
            </w:tcMar>
          </w:tcPr>
          <w:p>
            <w:r>
              <w:rPr>
                <w:rFonts w:ascii="Arial" w:cs="Arial" w:eastAsia="Arial" w:hAnsi="Arial"/>
                <w:b w:val="false"/>
                <w:bCs w:val="false"/>
                <w:color w:val="334155"/>
                <w:sz w:val="21"/>
                <w:szCs w:val="21"/>
              </w:rPr>
              <w:t xml:space="preserve">Login by a disabled or offboarded account</w:t>
            </w:r>
          </w:p>
        </w:tc>
        <w:tc>
          <w:tcPr>
            <w:tcW w:type="dxa" w:w="6160"/>
            <w:tcBorders>
              <w:top w:val="single" w:color="CBD5E1" w:sz="4"/>
              <w:left w:val="single" w:color="CBD5E1" w:sz="4"/>
              <w:bottom w:val="single" w:color="CBD5E1" w:sz="4"/>
              <w:right w:val="single" w:color="CBD5E1" w:sz="4"/>
            </w:tcBorders>
            <w:shd w:fill="FFFFFF" w:val="clear"/>
            <w:tcMar>
              <w:top w:type="dxa" w:w="80"/>
              <w:left w:type="dxa" w:w="130"/>
              <w:bottom w:type="dxa" w:w="80"/>
              <w:right w:type="dxa" w:w="130"/>
            </w:tcMar>
          </w:tcPr>
          <w:p>
            <w:r>
              <w:rPr>
                <w:rFonts w:ascii="Arial" w:cs="Arial" w:eastAsia="Arial" w:hAnsi="Arial"/>
                <w:b w:val="false"/>
                <w:bCs w:val="false"/>
                <w:color w:val="334155"/>
                <w:sz w:val="21"/>
                <w:szCs w:val="21"/>
              </w:rPr>
              <w:t xml:space="preserve">Immediate incident response; investigate how credentials were used</w:t>
            </w:r>
          </w:p>
        </w:tc>
      </w:tr>
      <w:tr>
        <w:tc>
          <w:tcPr>
            <w:tcW w:type="dxa" w:w="3200"/>
            <w:tcBorders>
              <w:top w:val="single" w:color="CBD5E1" w:sz="4"/>
              <w:left w:val="single" w:color="CBD5E1" w:sz="4"/>
              <w:bottom w:val="single" w:color="CBD5E1" w:sz="4"/>
              <w:right w:val="single" w:color="CBD5E1" w:sz="4"/>
            </w:tcBorders>
            <w:shd w:fill="F8FAFC" w:val="clear"/>
            <w:tcMar>
              <w:top w:type="dxa" w:w="80"/>
              <w:left w:type="dxa" w:w="130"/>
              <w:bottom w:type="dxa" w:w="80"/>
              <w:right w:type="dxa" w:w="130"/>
            </w:tcMar>
          </w:tcPr>
          <w:p>
            <w:r>
              <w:rPr>
                <w:rFonts w:ascii="Arial" w:cs="Arial" w:eastAsia="Arial" w:hAnsi="Arial"/>
                <w:b w:val="false"/>
                <w:bCs w:val="false"/>
                <w:color w:val="334155"/>
                <w:sz w:val="21"/>
                <w:szCs w:val="21"/>
              </w:rPr>
              <w:t xml:space="preserve">Access to 50+ patient records in under 1 hour</w:t>
            </w:r>
          </w:p>
        </w:tc>
        <w:tc>
          <w:tcPr>
            <w:tcW w:type="dxa" w:w="6160"/>
            <w:tcBorders>
              <w:top w:val="single" w:color="CBD5E1" w:sz="4"/>
              <w:left w:val="single" w:color="CBD5E1" w:sz="4"/>
              <w:bottom w:val="single" w:color="CBD5E1" w:sz="4"/>
              <w:right w:val="single" w:color="CBD5E1" w:sz="4"/>
            </w:tcBorders>
            <w:shd w:fill="FFFFFF" w:val="clear"/>
            <w:tcMar>
              <w:top w:type="dxa" w:w="80"/>
              <w:left w:type="dxa" w:w="130"/>
              <w:bottom w:type="dxa" w:w="80"/>
              <w:right w:type="dxa" w:w="130"/>
            </w:tcMar>
          </w:tcPr>
          <w:p>
            <w:r>
              <w:rPr>
                <w:rFonts w:ascii="Arial" w:cs="Arial" w:eastAsia="Arial" w:hAnsi="Arial"/>
                <w:b w:val="false"/>
                <w:bCs w:val="false"/>
                <w:color w:val="334155"/>
                <w:sz w:val="21"/>
                <w:szCs w:val="21"/>
              </w:rPr>
              <w:t xml:space="preserve">Contact user directly; document justification or escalate as potential breach</w:t>
            </w:r>
          </w:p>
        </w:tc>
      </w:tr>
      <w:tr>
        <w:tc>
          <w:tcPr>
            <w:tcW w:type="dxa" w:w="3200"/>
            <w:tcBorders>
              <w:top w:val="single" w:color="CBD5E1" w:sz="4"/>
              <w:left w:val="single" w:color="CBD5E1" w:sz="4"/>
              <w:bottom w:val="single" w:color="CBD5E1" w:sz="4"/>
              <w:right w:val="single" w:color="CBD5E1" w:sz="4"/>
            </w:tcBorders>
            <w:shd w:fill="F8FAFC" w:val="clear"/>
            <w:tcMar>
              <w:top w:type="dxa" w:w="80"/>
              <w:left w:type="dxa" w:w="130"/>
              <w:bottom w:type="dxa" w:w="80"/>
              <w:right w:type="dxa" w:w="130"/>
            </w:tcMar>
          </w:tcPr>
          <w:p>
            <w:r>
              <w:rPr>
                <w:rFonts w:ascii="Arial" w:cs="Arial" w:eastAsia="Arial" w:hAnsi="Arial"/>
                <w:b w:val="false"/>
                <w:bCs w:val="false"/>
                <w:color w:val="334155"/>
                <w:sz w:val="21"/>
                <w:szCs w:val="21"/>
              </w:rPr>
              <w:t xml:space="preserve">ePHI access from unrecognized IP address range</w:t>
            </w:r>
          </w:p>
        </w:tc>
        <w:tc>
          <w:tcPr>
            <w:tcW w:type="dxa" w:w="6160"/>
            <w:tcBorders>
              <w:top w:val="single" w:color="CBD5E1" w:sz="4"/>
              <w:left w:val="single" w:color="CBD5E1" w:sz="4"/>
              <w:bottom w:val="single" w:color="CBD5E1" w:sz="4"/>
              <w:right w:val="single" w:color="CBD5E1" w:sz="4"/>
            </w:tcBorders>
            <w:shd w:fill="FFFFFF" w:val="clear"/>
            <w:tcMar>
              <w:top w:type="dxa" w:w="80"/>
              <w:left w:type="dxa" w:w="130"/>
              <w:bottom w:type="dxa" w:w="80"/>
              <w:right w:type="dxa" w:w="130"/>
            </w:tcMar>
          </w:tcPr>
          <w:p>
            <w:r>
              <w:rPr>
                <w:rFonts w:ascii="Arial" w:cs="Arial" w:eastAsia="Arial" w:hAnsi="Arial"/>
                <w:b w:val="false"/>
                <w:bCs w:val="false"/>
                <w:color w:val="334155"/>
                <w:sz w:val="21"/>
                <w:szCs w:val="21"/>
              </w:rPr>
              <w:t xml:space="preserve">Verify with user if travel/remote work expected; otherwise treat as incident</w:t>
            </w:r>
          </w:p>
        </w:tc>
      </w:tr>
      <w:tr>
        <w:tc>
          <w:tcPr>
            <w:tcW w:type="dxa" w:w="3200"/>
            <w:tcBorders>
              <w:top w:val="single" w:color="CBD5E1" w:sz="4"/>
              <w:left w:val="single" w:color="CBD5E1" w:sz="4"/>
              <w:bottom w:val="single" w:color="CBD5E1" w:sz="4"/>
              <w:right w:val="single" w:color="CBD5E1" w:sz="4"/>
            </w:tcBorders>
            <w:shd w:fill="F8FAFC" w:val="clear"/>
            <w:tcMar>
              <w:top w:type="dxa" w:w="80"/>
              <w:left w:type="dxa" w:w="130"/>
              <w:bottom w:type="dxa" w:w="80"/>
              <w:right w:type="dxa" w:w="130"/>
            </w:tcMar>
          </w:tcPr>
          <w:p>
            <w:r>
              <w:rPr>
                <w:rFonts w:ascii="Arial" w:cs="Arial" w:eastAsia="Arial" w:hAnsi="Arial"/>
                <w:b w:val="false"/>
                <w:bCs w:val="false"/>
                <w:color w:val="334155"/>
                <w:sz w:val="21"/>
                <w:szCs w:val="21"/>
              </w:rPr>
              <w:t xml:space="preserve">Admin role actions performed outside business hours</w:t>
            </w:r>
          </w:p>
        </w:tc>
        <w:tc>
          <w:tcPr>
            <w:tcW w:type="dxa" w:w="6160"/>
            <w:tcBorders>
              <w:top w:val="single" w:color="CBD5E1" w:sz="4"/>
              <w:left w:val="single" w:color="CBD5E1" w:sz="4"/>
              <w:bottom w:val="single" w:color="CBD5E1" w:sz="4"/>
              <w:right w:val="single" w:color="CBD5E1" w:sz="4"/>
            </w:tcBorders>
            <w:shd w:fill="FFFFFF" w:val="clear"/>
            <w:tcMar>
              <w:top w:type="dxa" w:w="80"/>
              <w:left w:type="dxa" w:w="130"/>
              <w:bottom w:type="dxa" w:w="80"/>
              <w:right w:type="dxa" w:w="130"/>
            </w:tcMar>
          </w:tcPr>
          <w:p>
            <w:r>
              <w:rPr>
                <w:rFonts w:ascii="Arial" w:cs="Arial" w:eastAsia="Arial" w:hAnsi="Arial"/>
                <w:b w:val="false"/>
                <w:bCs w:val="false"/>
                <w:color w:val="334155"/>
                <w:sz w:val="21"/>
                <w:szCs w:val="21"/>
              </w:rPr>
              <w:t xml:space="preserve">Verify with administrator; document approval if authorized</w:t>
            </w:r>
          </w:p>
        </w:tc>
      </w:tr>
      <w:tr>
        <w:tc>
          <w:tcPr>
            <w:tcW w:type="dxa" w:w="3200"/>
            <w:tcBorders>
              <w:top w:val="single" w:color="CBD5E1" w:sz="4"/>
              <w:left w:val="single" w:color="CBD5E1" w:sz="4"/>
              <w:bottom w:val="single" w:color="CBD5E1" w:sz="4"/>
              <w:right w:val="single" w:color="CBD5E1" w:sz="4"/>
            </w:tcBorders>
            <w:shd w:fill="F8FAFC" w:val="clear"/>
            <w:tcMar>
              <w:top w:type="dxa" w:w="80"/>
              <w:left w:type="dxa" w:w="130"/>
              <w:bottom w:type="dxa" w:w="80"/>
              <w:right w:type="dxa" w:w="130"/>
            </w:tcMar>
          </w:tcPr>
          <w:p>
            <w:r>
              <w:rPr>
                <w:rFonts w:ascii="Arial" w:cs="Arial" w:eastAsia="Arial" w:hAnsi="Arial"/>
                <w:b w:val="false"/>
                <w:bCs w:val="false"/>
                <w:color w:val="334155"/>
                <w:sz w:val="21"/>
                <w:szCs w:val="21"/>
              </w:rPr>
              <w:t xml:space="preserve">MFA disabled for any account</w:t>
            </w:r>
          </w:p>
        </w:tc>
        <w:tc>
          <w:tcPr>
            <w:tcW w:type="dxa" w:w="6160"/>
            <w:tcBorders>
              <w:top w:val="single" w:color="CBD5E1" w:sz="4"/>
              <w:left w:val="single" w:color="CBD5E1" w:sz="4"/>
              <w:bottom w:val="single" w:color="CBD5E1" w:sz="4"/>
              <w:right w:val="single" w:color="CBD5E1" w:sz="4"/>
            </w:tcBorders>
            <w:shd w:fill="FFFFFF" w:val="clear"/>
            <w:tcMar>
              <w:top w:type="dxa" w:w="80"/>
              <w:left w:type="dxa" w:w="130"/>
              <w:bottom w:type="dxa" w:w="80"/>
              <w:right w:type="dxa" w:w="130"/>
            </w:tcMar>
          </w:tcPr>
          <w:p>
            <w:r>
              <w:rPr>
                <w:rFonts w:ascii="Arial" w:cs="Arial" w:eastAsia="Arial" w:hAnsi="Arial"/>
                <w:b w:val="false"/>
                <w:bCs w:val="false"/>
                <w:color w:val="334155"/>
                <w:sz w:val="21"/>
                <w:szCs w:val="21"/>
              </w:rPr>
              <w:t xml:space="preserve">Verify request originated from account owner; re-enable if unauthorized</w:t>
            </w:r>
          </w:p>
        </w:tc>
      </w:tr>
    </w:tbl>
    <w:p>
      <w:pPr>
        <w:spacing w:after="100" w:before="0"/>
      </w:pPr>
      <w:r>
        <w:rPr>
          <w:rFonts w:ascii="Arial" w:cs="Arial" w:eastAsia="Arial" w:hAnsi="Arial"/>
          <w:color w:val="334155"/>
          <w:sz w:val="22"/>
          <w:szCs w:val="22"/>
        </w:rPr>
        <w:t xml:space="preserve"/>
      </w:r>
    </w:p>
    <w:p>
      <w:pPr>
        <w:pStyle w:val="Heading1"/>
        <w:pBdr>
          <w:bottom w:val="single" w:color="1E3A5F" w:sz="6" w:space="4"/>
        </w:pBdr>
        <w:spacing w:after="100" w:before="320"/>
      </w:pPr>
      <w:r>
        <w:rPr>
          <w:rFonts w:ascii="Arial" w:cs="Arial" w:eastAsia="Arial" w:hAnsi="Arial"/>
          <w:b/>
          <w:bCs/>
          <w:color w:val="1E3A5F"/>
          <w:sz w:val="28"/>
          <w:szCs w:val="28"/>
        </w:rPr>
        <w:t xml:space="preserve">6. Documentation &amp; Retention</w:t>
      </w:r>
    </w:p>
    <w:p>
      <w:pPr>
        <w:pStyle w:val="ListParagraph"/>
        <w:numPr>
          <w:ilvl w:val="0"/>
          <w:numId w:val="3"/>
        </w:numPr>
        <w:spacing w:after="40" w:before="40"/>
      </w:pPr>
      <w:r>
        <w:rPr>
          <w:rFonts w:ascii="Arial" w:cs="Arial" w:eastAsia="Arial" w:hAnsi="Arial"/>
          <w:color w:val="334155"/>
          <w:sz w:val="22"/>
          <w:szCs w:val="22"/>
        </w:rPr>
        <w:t xml:space="preserve">A written Audit Review Summary must be completed for each weekly and monthly review.</w:t>
      </w:r>
    </w:p>
    <w:p>
      <w:pPr>
        <w:pStyle w:val="ListParagraph"/>
        <w:numPr>
          <w:ilvl w:val="0"/>
          <w:numId w:val="3"/>
        </w:numPr>
        <w:spacing w:after="40" w:before="40"/>
      </w:pPr>
      <w:r>
        <w:rPr>
          <w:rFonts w:ascii="Arial" w:cs="Arial" w:eastAsia="Arial" w:hAnsi="Arial"/>
          <w:color w:val="334155"/>
          <w:sz w:val="22"/>
          <w:szCs w:val="22"/>
        </w:rPr>
        <w:t xml:space="preserve">The Summary must include: review date, reviewer name, period covered, findings, actions taken, and open items.</w:t>
      </w:r>
    </w:p>
    <w:p>
      <w:pPr>
        <w:pStyle w:val="ListParagraph"/>
        <w:numPr>
          <w:ilvl w:val="0"/>
          <w:numId w:val="3"/>
        </w:numPr>
        <w:spacing w:after="40" w:before="40"/>
      </w:pPr>
      <w:r>
        <w:rPr>
          <w:rFonts w:ascii="Arial" w:cs="Arial" w:eastAsia="Arial" w:hAnsi="Arial"/>
          <w:color w:val="334155"/>
          <w:sz w:val="22"/>
          <w:szCs w:val="22"/>
        </w:rPr>
        <w:t xml:space="preserve">All Audit Review Summaries retained for six (6) years.</w:t>
      </w:r>
    </w:p>
    <w:p>
      <w:pPr>
        <w:pStyle w:val="ListParagraph"/>
        <w:numPr>
          <w:ilvl w:val="0"/>
          <w:numId w:val="3"/>
        </w:numPr>
        <w:spacing w:after="40" w:before="40"/>
      </w:pPr>
      <w:r>
        <w:rPr>
          <w:rFonts w:ascii="Arial" w:cs="Arial" w:eastAsia="Arial" w:hAnsi="Arial"/>
          <w:color w:val="334155"/>
          <w:sz w:val="22"/>
          <w:szCs w:val="22"/>
        </w:rPr>
        <w:t xml:space="preserve">Audit logs themselves must be retained for six (6) years and protected against modification or deletion.</w:t>
      </w:r>
    </w:p>
    <w:p>
      <w:pPr>
        <w:spacing w:after="100" w:before="0"/>
      </w:pPr>
      <w:r>
        <w:rPr>
          <w:rFonts w:ascii="Arial" w:cs="Arial" w:eastAsia="Arial" w:hAnsi="Arial"/>
          <w:color w:val="334155"/>
          <w:sz w:val="22"/>
          <w:szCs w:val="22"/>
        </w:rPr>
        <w:t xml:space="preserve"/>
      </w:r>
    </w:p>
    <w:p>
      <w:pPr>
        <w:pStyle w:val="Heading1"/>
        <w:pBdr>
          <w:bottom w:val="single" w:color="1E3A5F" w:sz="6" w:space="4"/>
        </w:pBdr>
        <w:spacing w:after="100" w:before="320"/>
      </w:pPr>
      <w:r>
        <w:rPr>
          <w:rFonts w:ascii="Arial" w:cs="Arial" w:eastAsia="Arial" w:hAnsi="Arial"/>
          <w:b/>
          <w:bCs/>
          <w:color w:val="1E3A5F"/>
          <w:sz w:val="28"/>
          <w:szCs w:val="28"/>
        </w:rPr>
        <w:t xml:space="preserve">7. Accessing Audit Logs in MedFlow EMR</w:t>
      </w:r>
    </w:p>
    <w:p>
      <w:pPr>
        <w:spacing w:after="60" w:before="60"/>
      </w:pPr>
      <w:r>
        <w:rPr>
          <w:rFonts w:ascii="Arial" w:cs="Arial" w:eastAsia="Arial" w:hAnsi="Arial"/>
          <w:color w:val="334155"/>
          <w:sz w:val="22"/>
          <w:szCs w:val="22"/>
        </w:rPr>
        <w:t xml:space="preserve">Audit logs are accessible to Admin-role users via Settings → Audit Log within the MedFlow EMR. The log displays the 500 most recent events. For historical queries, the Privacy/Security Officer may request a database export from the IT/EMR Administrator.</w:t>
      </w:r>
    </w:p>
    <w:p>
      <w:pPr>
        <w:spacing w:after="100" w:before="0"/>
      </w:pPr>
      <w:r>
        <w:rPr>
          <w:rFonts w:ascii="Arial" w:cs="Arial" w:eastAsia="Arial" w:hAnsi="Arial"/>
          <w:color w:val="334155"/>
          <w:sz w:val="22"/>
          <w:szCs w:val="22"/>
        </w:rPr>
        <w:t xml:space="preserve"/>
      </w:r>
    </w:p>
    <w:p>
      <w:pPr>
        <w:pStyle w:val="Heading1"/>
        <w:pBdr>
          <w:bottom w:val="single" w:color="1E3A5F" w:sz="6" w:space="4"/>
        </w:pBdr>
        <w:spacing w:after="100" w:before="320"/>
      </w:pPr>
      <w:r>
        <w:rPr>
          <w:rFonts w:ascii="Arial" w:cs="Arial" w:eastAsia="Arial" w:hAnsi="Arial"/>
          <w:b/>
          <w:bCs/>
          <w:color w:val="1E3A5F"/>
          <w:sz w:val="28"/>
          <w:szCs w:val="28"/>
        </w:rPr>
        <w:t xml:space="preserve">8. Sanctions for Log Tampering</w:t>
      </w:r>
    </w:p>
    <w:p>
      <w:pPr>
        <w:spacing w:after="60" w:before="60"/>
      </w:pPr>
      <w:r>
        <w:rPr>
          <w:rFonts w:ascii="Arial" w:cs="Arial" w:eastAsia="Arial" w:hAnsi="Arial"/>
          <w:color w:val="334155"/>
          <w:sz w:val="22"/>
          <w:szCs w:val="22"/>
        </w:rPr>
        <w:t xml:space="preserve">Any attempt to modify, delete, or circumvent audit logging is a severe HIPAA violation subject to immediate termination and referral to HHS OCR. Audit logs are read-only and may not be altered by any workforce member regardless of their access role.</w:t>
      </w:r>
    </w:p>
    <w:p>
      <w:pPr>
        <w:spacing w:after="100" w:before="0"/>
      </w:pPr>
      <w:r>
        <w:rPr>
          <w:rFonts w:ascii="Arial" w:cs="Arial" w:eastAsia="Arial" w:hAnsi="Arial"/>
          <w:color w:val="334155"/>
          <w:sz w:val="22"/>
          <w:szCs w:val="22"/>
        </w:rPr>
        <w:t xml:space="preserve"/>
      </w:r>
    </w:p>
    <w:p>
      <w:pPr>
        <w:spacing w:after="100" w:before="0"/>
      </w:pPr>
      <w:r>
        <w:rPr>
          <w:rFonts w:ascii="Arial" w:cs="Arial" w:eastAsia="Arial" w:hAnsi="Arial"/>
          <w:color w:val="334155"/>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4"/>
              <w:left w:val="single" w:color="CBD5E1" w:sz="4"/>
              <w:bottom w:val="single" w:color="CBD5E1" w:sz="4"/>
              <w:right w:val="single" w:color="CBD5E1" w:sz="4"/>
            </w:tcBorders>
            <w:shd w:fill="F8FAFC" w:val="clear"/>
            <w:tcMar>
              <w:top w:type="dxa" w:w="80"/>
              <w:left w:type="dxa" w:w="130"/>
              <w:bottom w:type="dxa" w:w="80"/>
              <w:right w:type="dxa" w:w="130"/>
            </w:tcMar>
          </w:tcPr>
          <w:p>
            <w:r>
              <w:rPr>
                <w:rFonts w:ascii="Arial" w:cs="Arial" w:eastAsia="Arial" w:hAnsi="Arial"/>
                <w:b/>
                <w:bCs/>
                <w:color w:val="334155"/>
                <w:sz w:val="21"/>
                <w:szCs w:val="21"/>
              </w:rPr>
              <w:t xml:space="preserve">Privacy/Security Officer</w:t>
            </w:r>
          </w:p>
        </w:tc>
        <w:tc>
          <w:tcPr>
            <w:tcW w:type="dxa" w:w="6560"/>
            <w:tcBorders>
              <w:top w:val="single" w:color="CBD5E1" w:sz="4"/>
              <w:left w:val="single" w:color="CBD5E1" w:sz="4"/>
              <w:bottom w:val="single" w:color="CBD5E1" w:sz="4"/>
              <w:right w:val="single" w:color="CBD5E1" w:sz="4"/>
            </w:tcBorders>
            <w:shd w:fill="FFFFFF" w:val="clear"/>
            <w:tcMar>
              <w:top w:type="dxa" w:w="80"/>
              <w:left w:type="dxa" w:w="130"/>
              <w:bottom w:type="dxa" w:w="80"/>
              <w:right w:type="dxa" w:w="130"/>
            </w:tcMar>
          </w:tcPr>
          <w:p>
            <w:r>
              <w:rPr>
                <w:rFonts w:ascii="Arial" w:cs="Arial" w:eastAsia="Arial" w:hAnsi="Arial"/>
                <w:b w:val="false"/>
                <w:bCs w:val="false"/>
                <w:color w:val="334155"/>
                <w:sz w:val="21"/>
                <w:szCs w:val="21"/>
              </w:rPr>
              <w:t xml:space="preserve">_______________________________   Date: ___________</w:t>
            </w:r>
          </w:p>
        </w:tc>
      </w:tr>
      <w:tr>
        <w:tc>
          <w:tcPr>
            <w:tcW w:type="dxa" w:w="2800"/>
            <w:tcBorders>
              <w:top w:val="single" w:color="CBD5E1" w:sz="4"/>
              <w:left w:val="single" w:color="CBD5E1" w:sz="4"/>
              <w:bottom w:val="single" w:color="CBD5E1" w:sz="4"/>
              <w:right w:val="single" w:color="CBD5E1" w:sz="4"/>
            </w:tcBorders>
            <w:shd w:fill="F8FAFC" w:val="clear"/>
            <w:tcMar>
              <w:top w:type="dxa" w:w="80"/>
              <w:left w:type="dxa" w:w="130"/>
              <w:bottom w:type="dxa" w:w="80"/>
              <w:right w:type="dxa" w:w="130"/>
            </w:tcMar>
          </w:tcPr>
          <w:p>
            <w:r>
              <w:rPr>
                <w:rFonts w:ascii="Arial" w:cs="Arial" w:eastAsia="Arial" w:hAnsi="Arial"/>
                <w:b/>
                <w:bCs/>
                <w:color w:val="334155"/>
                <w:sz w:val="21"/>
                <w:szCs w:val="21"/>
              </w:rPr>
              <w:t xml:space="preserve">Practice Administrator</w:t>
            </w:r>
          </w:p>
        </w:tc>
        <w:tc>
          <w:tcPr>
            <w:tcW w:type="dxa" w:w="6560"/>
            <w:tcBorders>
              <w:top w:val="single" w:color="CBD5E1" w:sz="4"/>
              <w:left w:val="single" w:color="CBD5E1" w:sz="4"/>
              <w:bottom w:val="single" w:color="CBD5E1" w:sz="4"/>
              <w:right w:val="single" w:color="CBD5E1" w:sz="4"/>
            </w:tcBorders>
            <w:shd w:fill="FFFFFF" w:val="clear"/>
            <w:tcMar>
              <w:top w:type="dxa" w:w="80"/>
              <w:left w:type="dxa" w:w="130"/>
              <w:bottom w:type="dxa" w:w="80"/>
              <w:right w:type="dxa" w:w="130"/>
            </w:tcMar>
          </w:tcPr>
          <w:p>
            <w:r>
              <w:rPr>
                <w:rFonts w:ascii="Arial" w:cs="Arial" w:eastAsia="Arial" w:hAnsi="Arial"/>
                <w:b w:val="false"/>
                <w:bCs w:val="false"/>
                <w:color w:val="334155"/>
                <w:sz w:val="21"/>
                <w:szCs w:val="21"/>
              </w:rPr>
              <w:t xml:space="preserve">_______________________________   Date: ___________</w:t>
            </w:r>
          </w:p>
        </w:tc>
      </w:tr>
      <w:tr>
        <w:tc>
          <w:tcPr>
            <w:tcW w:type="dxa" w:w="2800"/>
            <w:tcBorders>
              <w:top w:val="single" w:color="CBD5E1" w:sz="4"/>
              <w:left w:val="single" w:color="CBD5E1" w:sz="4"/>
              <w:bottom w:val="single" w:color="CBD5E1" w:sz="4"/>
              <w:right w:val="single" w:color="CBD5E1" w:sz="4"/>
            </w:tcBorders>
            <w:shd w:fill="F8FAFC" w:val="clear"/>
            <w:tcMar>
              <w:top w:type="dxa" w:w="80"/>
              <w:left w:type="dxa" w:w="130"/>
              <w:bottom w:type="dxa" w:w="80"/>
              <w:right w:type="dxa" w:w="130"/>
            </w:tcMar>
          </w:tcPr>
          <w:p>
            <w:r>
              <w:rPr>
                <w:rFonts w:ascii="Arial" w:cs="Arial" w:eastAsia="Arial" w:hAnsi="Arial"/>
                <w:b/>
                <w:bCs/>
                <w:color w:val="334155"/>
                <w:sz w:val="21"/>
                <w:szCs w:val="21"/>
              </w:rPr>
              <w:t xml:space="preserve">Version / Date</w:t>
            </w:r>
          </w:p>
        </w:tc>
        <w:tc>
          <w:tcPr>
            <w:tcW w:type="dxa" w:w="6560"/>
            <w:tcBorders>
              <w:top w:val="single" w:color="CBD5E1" w:sz="4"/>
              <w:left w:val="single" w:color="CBD5E1" w:sz="4"/>
              <w:bottom w:val="single" w:color="CBD5E1" w:sz="4"/>
              <w:right w:val="single" w:color="CBD5E1" w:sz="4"/>
            </w:tcBorders>
            <w:shd w:fill="FFFFFF" w:val="clear"/>
            <w:tcMar>
              <w:top w:type="dxa" w:w="80"/>
              <w:left w:type="dxa" w:w="130"/>
              <w:bottom w:type="dxa" w:w="80"/>
              <w:right w:type="dxa" w:w="130"/>
            </w:tcMar>
          </w:tcPr>
          <w:p>
            <w:r>
              <w:rPr>
                <w:rFonts w:ascii="Arial" w:cs="Arial" w:eastAsia="Arial" w:hAnsi="Arial"/>
                <w:b w:val="false"/>
                <w:bCs w:val="false"/>
                <w:color w:val="334155"/>
                <w:sz w:val="21"/>
                <w:szCs w:val="21"/>
              </w:rPr>
              <w:t xml:space="preserve">1.0 — March 20, 2026</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4"/>
      </w:pBdr>
      <w:tabs>
        <w:tab w:val="right" w:pos="9360"/>
      </w:tabs>
    </w:pPr>
    <w:r>
      <w:rPr>
        <w:rFonts w:ascii="Arial" w:cs="Arial" w:eastAsia="Arial" w:hAnsi="Arial"/>
        <w:color w:val="64748B"/>
        <w:sz w:val="16"/>
        <w:szCs w:val="16"/>
      </w:rPr>
      <w:t xml:space="preserve">Internal Use Only	</w:t>
    </w:r>
    <w:r>
      <w:rPr>
        <w:rFonts w:ascii="Arial" w:cs="Arial" w:eastAsia="Arial" w:hAnsi="Arial"/>
        <w:color w:val="64748B"/>
        <w:sz w:val="16"/>
        <w:szCs w:val="16"/>
      </w:rPr>
      <w:t xml:space="preserve">Page </w:t>
    </w:r>
    <w:r>
      <w:rPr>
        <w:rFonts w:ascii="Arial" w:cs="Arial" w:eastAsia="Arial" w:hAnsi="Arial"/>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4" w:space="4"/>
      </w:pBdr>
      <w:tabs>
        <w:tab w:val="right" w:pos="9360"/>
      </w:tabs>
    </w:pPr>
    <w:r>
      <w:rPr>
        <w:rFonts w:ascii="Arial" w:cs="Arial" w:eastAsia="Arial" w:hAnsi="Arial"/>
        <w:color w:val="64748B"/>
        <w:sz w:val="17"/>
        <w:szCs w:val="17"/>
      </w:rPr>
      <w:t xml:space="preserve">Valiant Direct Primary Care  |  Audit Log Review Policy</w:t>
    </w:r>
    <w:r>
      <w:rPr>
        <w:rFonts w:ascii="Arial" w:cs="Arial" w:eastAsia="Arial" w:hAnsi="Arial"/>
        <w:b/>
        <w:bCs/>
        <w:color w:val="DC2626"/>
        <w:sz w:val="17"/>
        <w:szCs w:val="17"/>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320"/>
      <w:outlineLvl w:val="0"/>
    </w:pPr>
    <w:rPr>
      <w:rFonts w:ascii="Arial" w:cs="Arial" w:eastAsia="Arial" w:hAnsi="Arial"/>
      <w:b/>
      <w:bCs/>
      <w:color w:val="1E3A5F"/>
      <w:sz w:val="28"/>
      <w:szCs w:val="28"/>
    </w:rPr>
  </w:style>
  <w:style w:type="paragraph" w:styleId="Heading2">
    <w:name w:val="Heading 2"/>
    <w:basedOn w:val="Normal"/>
    <w:next w:val="Normal"/>
    <w:qFormat/>
    <w:pPr>
      <w:spacing w:after="80" w:before="220"/>
      <w:outlineLvl w:val="1"/>
    </w:pPr>
    <w:rPr>
      <w:rFonts w:ascii="Arial" w:cs="Arial" w:eastAsia="Arial" w:hAnsi="Arial"/>
      <w:b/>
      <w:bCs/>
      <w:color w:val="3341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2026-03-20T14:53:57.436Z</dcterms:created>
  <dcterms:modified xsi:type="dcterms:W3CDTF">2026-03-20T14:53:57.436Z</dcterms:modified>
</cp:coreProperties>
</file>

<file path=docProps/custom.xml><?xml version="1.0" encoding="utf-8"?>
<Properties xmlns="http://schemas.openxmlformats.org/officeDocument/2006/custom-properties" xmlns:vt="http://schemas.openxmlformats.org/officeDocument/2006/docPropsVTypes"/>
</file>