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80"/>
        <w:jc w:val="center"/>
      </w:pPr>
      <w:r>
        <w:rPr>
          <w:rFonts w:ascii="Arial" w:cs="Arial" w:eastAsia="Arial" w:hAnsi="Arial"/>
          <w:b/>
          <w:bCs/>
          <w:color w:val="1E3A5F"/>
          <w:sz w:val="34"/>
          <w:szCs w:val="34"/>
        </w:rPr>
        <w:t xml:space="preserve">Valiant Direct Primary Care</w:t>
      </w:r>
    </w:p>
    <w:p>
      <w:pPr>
        <w:spacing w:after="80" w:before="80"/>
        <w:jc w:val="center"/>
      </w:pPr>
      <w:r>
        <w:rPr>
          <w:rFonts w:ascii="Arial" w:cs="Arial" w:eastAsia="Arial" w:hAnsi="Arial"/>
          <w:b/>
          <w:bCs/>
          <w:color w:val="1E3A5F"/>
          <w:sz w:val="48"/>
          <w:szCs w:val="48"/>
        </w:rPr>
        <w:t xml:space="preserve">Business Associate Agreement
Management Policy</w:t>
      </w:r>
    </w:p>
    <w:p>
      <w:pPr>
        <w:spacing w:after="280"/>
        <w:jc w:val="center"/>
      </w:pPr>
      <w:r>
        <w:rPr>
          <w:rFonts w:ascii="Arial" w:cs="Arial" w:eastAsia="Arial" w:hAnsi="Arial"/>
          <w:color w:val="64748B"/>
          <w:sz w:val="24"/>
          <w:szCs w:val="24"/>
        </w:rPr>
        <w:t xml:space="preserve">Administrative Safeguards — Third-Party Vendor Compliance</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DC2626" w:sz="8"/>
              <w:left w:val="single" w:color="DC2626" w:sz="8"/>
              <w:bottom w:val="single" w:color="DC2626" w:sz="8"/>
              <w:right w:val="single" w:color="DC2626" w:sz="8"/>
            </w:tcBorders>
            <w:shd w:fill="FEE2E2" w:val="clear"/>
            <w:tcMar>
              <w:top w:type="dxa" w:w="120"/>
              <w:left w:type="dxa" w:w="240"/>
              <w:bottom w:type="dxa" w:w="120"/>
              <w:right w:type="dxa" w:w="240"/>
            </w:tcMar>
          </w:tcPr>
          <w:p>
            <w:pPr>
              <w:jc w:val="center"/>
            </w:pPr>
            <w:r>
              <w:rPr>
                <w:rFonts w:ascii="Arial" w:cs="Arial" w:eastAsia="Arial" w:hAnsi="Arial"/>
                <w:b/>
                <w:bCs/>
                <w:color w:val="DC2626"/>
                <w:sz w:val="22"/>
                <w:szCs w:val="22"/>
              </w:rPr>
              <w:t xml:space="preserve">CONFIDENTIAL — INTERNAL USE ONLY</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Policy Number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POL-HIPAA-006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Effective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Next Review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2027</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Document Owner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Privacy &amp; Security Officer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Approved By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Practice Administrator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Regulatory Basis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164.308 — HIPAA Security Rule (Administrative Safeguards)</w:t>
            </w:r>
          </w:p>
        </w:tc>
      </w:tr>
    </w:tbl>
    <w:p>
      <w:r>
        <w:br w:type="page"/>
      </w:r>
    </w:p>
    <w:p>
      <w:pPr>
        <w:pStyle w:val="Heading1"/>
        <w:pBdr>
          <w:bottom w:val="single" w:color="1E3A5F" w:sz="6" w:space="4"/>
        </w:pBdr>
        <w:spacing w:after="100" w:before="320"/>
      </w:pPr>
      <w:r>
        <w:rPr>
          <w:rFonts w:ascii="Arial" w:cs="Arial" w:eastAsia="Arial" w:hAnsi="Arial"/>
          <w:b/>
          <w:bCs/>
          <w:color w:val="1E3A5F"/>
          <w:sz w:val="28"/>
          <w:szCs w:val="28"/>
        </w:rPr>
        <w:t xml:space="preserve">1. Purpose</w:t>
      </w:r>
    </w:p>
    <w:p>
      <w:pPr>
        <w:spacing w:after="60" w:before="60"/>
      </w:pPr>
      <w:r>
        <w:rPr>
          <w:rFonts w:ascii="Arial" w:cs="Arial" w:eastAsia="Arial" w:hAnsi="Arial"/>
          <w:color w:val="334155"/>
          <w:sz w:val="22"/>
          <w:szCs w:val="22"/>
        </w:rPr>
        <w:t xml:space="preserve">This policy establishes requirements for identifying business associates, executing HIPAA-compliant Business Associate Agreements (BAAs), and monitoring vendor compliance. A BAA is a legally required contract between Valiant Direct Primary Care and any vendor or service provider that creates, receives, maintains, or transmits ePHI on the practice's behalf.</w:t>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DBEAFE" w:val="clear"/>
            <w:tcMar>
              <w:top w:type="dxa" w:w="120"/>
              <w:left w:type="dxa" w:w="160"/>
              <w:bottom w:type="dxa" w:w="120"/>
              <w:right w:type="dxa" w:w="160"/>
            </w:tcMar>
          </w:tcPr>
          <w:p>
            <w:pPr>
              <w:spacing w:after="60" w:before="60"/>
            </w:pPr>
            <w:r>
              <w:rPr>
                <w:rFonts w:ascii="Arial" w:cs="Arial" w:eastAsia="Arial" w:hAnsi="Arial"/>
                <w:color w:val="334155"/>
                <w:sz w:val="22"/>
                <w:szCs w:val="22"/>
              </w:rPr>
              <w:t xml:space="preserve">Regulatory Basis: 45 C.F.R. § 164.308(b) — Business Associate Contracts (Required). 45 C.F.R. § 164.504(e) — Requirements for contracts with business associates. Failure to execute BAAs prior to sharing ePHI with vendors is an immediate HIPAA violation subject to civil monetary penalties.</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2. Definition of a Business Associate</w:t>
      </w:r>
    </w:p>
    <w:p>
      <w:pPr>
        <w:spacing w:after="60" w:before="60"/>
      </w:pPr>
      <w:r>
        <w:rPr>
          <w:rFonts w:ascii="Arial" w:cs="Arial" w:eastAsia="Arial" w:hAnsi="Arial"/>
          <w:color w:val="334155"/>
          <w:sz w:val="22"/>
          <w:szCs w:val="22"/>
        </w:rPr>
        <w:t xml:space="preserve">A Business Associate is any person or entity (other than a workforce member) that performs functions or activities involving the use or disclosure of ePHI on behalf of the covered entity. Examples include:</w:t>
      </w:r>
    </w:p>
    <w:p>
      <w:pPr>
        <w:pStyle w:val="ListParagraph"/>
        <w:numPr>
          <w:ilvl w:val="0"/>
          <w:numId w:val="2"/>
        </w:numPr>
        <w:spacing w:after="40" w:before="40"/>
      </w:pPr>
      <w:r>
        <w:rPr>
          <w:rFonts w:ascii="Arial" w:cs="Arial" w:eastAsia="Arial" w:hAnsi="Arial"/>
          <w:color w:val="334155"/>
          <w:sz w:val="22"/>
          <w:szCs w:val="22"/>
        </w:rPr>
        <w:t xml:space="preserve">Cloud hosting and infrastructure providers (Railway)</w:t>
      </w:r>
    </w:p>
    <w:p>
      <w:pPr>
        <w:pStyle w:val="ListParagraph"/>
        <w:numPr>
          <w:ilvl w:val="0"/>
          <w:numId w:val="2"/>
        </w:numPr>
        <w:spacing w:after="40" w:before="40"/>
      </w:pPr>
      <w:r>
        <w:rPr>
          <w:rFonts w:ascii="Arial" w:cs="Arial" w:eastAsia="Arial" w:hAnsi="Arial"/>
          <w:color w:val="334155"/>
          <w:sz w:val="22"/>
          <w:szCs w:val="22"/>
        </w:rPr>
        <w:t xml:space="preserve">Fax and telecommunications services (Telnyx)</w:t>
      </w:r>
    </w:p>
    <w:p>
      <w:pPr>
        <w:pStyle w:val="ListParagraph"/>
        <w:numPr>
          <w:ilvl w:val="0"/>
          <w:numId w:val="2"/>
        </w:numPr>
        <w:spacing w:after="40" w:before="40"/>
      </w:pPr>
      <w:r>
        <w:rPr>
          <w:rFonts w:ascii="Arial" w:cs="Arial" w:eastAsia="Arial" w:hAnsi="Arial"/>
          <w:color w:val="334155"/>
          <w:sz w:val="22"/>
          <w:szCs w:val="22"/>
        </w:rPr>
        <w:t xml:space="preserve">Payment processors handling patient billing data (Square)</w:t>
      </w:r>
    </w:p>
    <w:p>
      <w:pPr>
        <w:pStyle w:val="ListParagraph"/>
        <w:numPr>
          <w:ilvl w:val="0"/>
          <w:numId w:val="2"/>
        </w:numPr>
        <w:spacing w:after="40" w:before="40"/>
      </w:pPr>
      <w:r>
        <w:rPr>
          <w:rFonts w:ascii="Arial" w:cs="Arial" w:eastAsia="Arial" w:hAnsi="Arial"/>
          <w:color w:val="334155"/>
          <w:sz w:val="22"/>
          <w:szCs w:val="22"/>
        </w:rPr>
        <w:t xml:space="preserve">Laboratory services with access to patient orders and results (LabCorp)</w:t>
      </w:r>
    </w:p>
    <w:p>
      <w:pPr>
        <w:pStyle w:val="ListParagraph"/>
        <w:numPr>
          <w:ilvl w:val="0"/>
          <w:numId w:val="2"/>
        </w:numPr>
        <w:spacing w:after="40" w:before="40"/>
      </w:pPr>
      <w:r>
        <w:rPr>
          <w:rFonts w:ascii="Arial" w:cs="Arial" w:eastAsia="Arial" w:hAnsi="Arial"/>
          <w:color w:val="334155"/>
          <w:sz w:val="22"/>
          <w:szCs w:val="22"/>
        </w:rPr>
        <w:t xml:space="preserve">Electronic health records or billing software vendors</w:t>
      </w:r>
    </w:p>
    <w:p>
      <w:pPr>
        <w:pStyle w:val="ListParagraph"/>
        <w:numPr>
          <w:ilvl w:val="0"/>
          <w:numId w:val="2"/>
        </w:numPr>
        <w:spacing w:after="40" w:before="40"/>
      </w:pPr>
      <w:r>
        <w:rPr>
          <w:rFonts w:ascii="Arial" w:cs="Arial" w:eastAsia="Arial" w:hAnsi="Arial"/>
          <w:color w:val="334155"/>
          <w:sz w:val="22"/>
          <w:szCs w:val="22"/>
        </w:rPr>
        <w:t xml:space="preserve">IT support personnel with potential access to systems containing ePHI</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3. Required BAA Vendors — Valiant DPC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Vendor</w:t>
            </w:r>
          </w:p>
        </w:tc>
        <w:tc>
          <w:tcPr>
            <w:tcW w:type="dxa" w:w="20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Service</w:t>
            </w:r>
          </w:p>
        </w:tc>
        <w:tc>
          <w:tcPr>
            <w:tcW w:type="dxa" w:w="18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BAA Status</w:t>
            </w:r>
          </w:p>
        </w:tc>
        <w:tc>
          <w:tcPr>
            <w:tcW w:type="dxa" w:w="37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Action Required</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Railway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Cloud hosting &amp; PostgreSQL database</w:t>
            </w:r>
          </w:p>
        </w:tc>
        <w:tc>
          <w:tcPr>
            <w:tcW w:type="dxa" w:w="1800"/>
            <w:tcBorders>
              <w:top w:val="single" w:color="CBD5E1" w:sz="4"/>
              <w:left w:val="single" w:color="CBD5E1" w:sz="4"/>
              <w:bottom w:val="single" w:color="CBD5E1" w:sz="4"/>
              <w:right w:val="single" w:color="CBD5E1" w:sz="4"/>
            </w:tcBorders>
            <w:shd w:fill="FEE2E2" w:val="clear"/>
            <w:tcMar>
              <w:top w:type="dxa" w:w="80"/>
              <w:left w:type="dxa" w:w="130"/>
              <w:bottom w:type="dxa" w:w="80"/>
              <w:right w:type="dxa" w:w="130"/>
            </w:tcMar>
          </w:tcPr>
          <w:p>
            <w:r>
              <w:rPr>
                <w:rFonts w:ascii="Arial" w:cs="Arial" w:eastAsia="Arial" w:hAnsi="Arial"/>
                <w:b w:val="false"/>
                <w:bCs w:val="false"/>
                <w:color w:val="334155"/>
                <w:sz w:val="21"/>
                <w:szCs w:val="21"/>
              </w:rPr>
              <w:t xml:space="preserve">PENDING</w:t>
            </w:r>
          </w:p>
        </w:tc>
        <w:tc>
          <w:tcPr>
            <w:tcW w:type="dxa" w:w="37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Execute via Railway dashboard — available on Pro/Team plan. Contact: railway.app/legal</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Telnyx</w:t>
            </w:r>
          </w:p>
        </w:tc>
        <w:tc>
          <w:tcPr>
            <w:tcW w:type="dxa" w:w="20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HIPAA fax transmission</w:t>
            </w:r>
          </w:p>
        </w:tc>
        <w:tc>
          <w:tcPr>
            <w:tcW w:type="dxa" w:w="1800"/>
            <w:tcBorders>
              <w:top w:val="single" w:color="CBD5E1" w:sz="4"/>
              <w:left w:val="single" w:color="CBD5E1" w:sz="4"/>
              <w:bottom w:val="single" w:color="CBD5E1" w:sz="4"/>
              <w:right w:val="single" w:color="CBD5E1" w:sz="4"/>
            </w:tcBorders>
            <w:shd w:fill="FEE2E2" w:val="clear"/>
            <w:tcMar>
              <w:top w:type="dxa" w:w="80"/>
              <w:left w:type="dxa" w:w="130"/>
              <w:bottom w:type="dxa" w:w="80"/>
              <w:right w:type="dxa" w:w="130"/>
            </w:tcMar>
          </w:tcPr>
          <w:p>
            <w:r>
              <w:rPr>
                <w:rFonts w:ascii="Arial" w:cs="Arial" w:eastAsia="Arial" w:hAnsi="Arial"/>
                <w:b w:val="false"/>
                <w:bCs w:val="false"/>
                <w:color w:val="334155"/>
                <w:sz w:val="21"/>
                <w:szCs w:val="21"/>
              </w:rPr>
              <w:t xml:space="preserve">PENDING</w:t>
            </w:r>
          </w:p>
        </w:tc>
        <w:tc>
          <w:tcPr>
            <w:tcW w:type="dxa" w:w="37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Request via Telnyx support portal. Telnyx offers BAAs for HIPAA-covered customers.</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Square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Payment processing (patient name linked to card)</w:t>
            </w:r>
          </w:p>
        </w:tc>
        <w:tc>
          <w:tcPr>
            <w:tcW w:type="dxa" w:w="1800"/>
            <w:tcBorders>
              <w:top w:val="single" w:color="CBD5E1" w:sz="4"/>
              <w:left w:val="single" w:color="CBD5E1" w:sz="4"/>
              <w:bottom w:val="single" w:color="CBD5E1" w:sz="4"/>
              <w:right w:val="single" w:color="CBD5E1" w:sz="4"/>
            </w:tcBorders>
            <w:shd w:fill="FEE2E2" w:val="clear"/>
            <w:tcMar>
              <w:top w:type="dxa" w:w="80"/>
              <w:left w:type="dxa" w:w="130"/>
              <w:bottom w:type="dxa" w:w="80"/>
              <w:right w:type="dxa" w:w="130"/>
            </w:tcMar>
          </w:tcPr>
          <w:p>
            <w:r>
              <w:rPr>
                <w:rFonts w:ascii="Arial" w:cs="Arial" w:eastAsia="Arial" w:hAnsi="Arial"/>
                <w:b w:val="false"/>
                <w:bCs w:val="false"/>
                <w:color w:val="334155"/>
                <w:sz w:val="21"/>
                <w:szCs w:val="21"/>
              </w:rPr>
              <w:t xml:space="preserve">PENDING</w:t>
            </w:r>
          </w:p>
        </w:tc>
        <w:tc>
          <w:tcPr>
            <w:tcW w:type="dxa" w:w="37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Square offers a BAA for healthcare customers. Contact Square sales for Healthcare plan.</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LabCorp</w:t>
            </w:r>
          </w:p>
        </w:tc>
        <w:tc>
          <w:tcPr>
            <w:tcW w:type="dxa" w:w="20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Lab order transmission and results API</w:t>
            </w:r>
          </w:p>
        </w:tc>
        <w:tc>
          <w:tcPr>
            <w:tcW w:type="dxa" w:w="1800"/>
            <w:tcBorders>
              <w:top w:val="single" w:color="CBD5E1" w:sz="4"/>
              <w:left w:val="single" w:color="CBD5E1" w:sz="4"/>
              <w:bottom w:val="single" w:color="CBD5E1" w:sz="4"/>
              <w:right w:val="single" w:color="CBD5E1" w:sz="4"/>
            </w:tcBorders>
            <w:shd w:fill="FEE2E2" w:val="clear"/>
            <w:tcMar>
              <w:top w:type="dxa" w:w="80"/>
              <w:left w:type="dxa" w:w="130"/>
              <w:bottom w:type="dxa" w:w="80"/>
              <w:right w:type="dxa" w:w="130"/>
            </w:tcMar>
          </w:tcPr>
          <w:p>
            <w:r>
              <w:rPr>
                <w:rFonts w:ascii="Arial" w:cs="Arial" w:eastAsia="Arial" w:hAnsi="Arial"/>
                <w:b w:val="false"/>
                <w:bCs w:val="false"/>
                <w:color w:val="334155"/>
                <w:sz w:val="21"/>
                <w:szCs w:val="21"/>
              </w:rPr>
              <w:t xml:space="preserve">PENDING</w:t>
            </w:r>
          </w:p>
        </w:tc>
        <w:tc>
          <w:tcPr>
            <w:tcW w:type="dxa" w:w="37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BAA typically included in LabCorp provider enrollment agreement. Confirm with LabCorp account rep.</w:t>
            </w:r>
          </w:p>
        </w:tc>
      </w:tr>
    </w:tbl>
    <w:p>
      <w:pPr>
        <w:spacing w:after="100" w:before="0"/>
      </w:pPr>
      <w:r>
        <w:rPr>
          <w:rFonts w:ascii="Arial" w:cs="Arial" w:eastAsia="Arial" w:hAnsi="Arial"/>
          <w:color w:val="334155"/>
          <w:sz w:val="22"/>
          <w:szCs w:val="22"/>
        </w:rPr>
        <w:t xml:space="preserve"/>
      </w:r>
    </w:p>
    <w:p>
      <w:pPr>
        <w:spacing w:after="60" w:before="60"/>
      </w:pPr>
      <w:r>
        <w:rPr>
          <w:rFonts w:ascii="Arial" w:cs="Arial" w:eastAsia="Arial" w:hAnsi="Arial"/>
          <w:b/>
          <w:bCs/>
          <w:color w:val="1E293B"/>
          <w:sz w:val="22"/>
          <w:szCs w:val="22"/>
        </w:rPr>
        <w:t xml:space="preserve">PRIORITY: </w:t>
      </w:r>
      <w:r>
        <w:rPr>
          <w:rFonts w:ascii="Arial" w:cs="Arial" w:eastAsia="Arial" w:hAnsi="Arial"/>
          <w:color w:val="334155"/>
          <w:sz w:val="22"/>
          <w:szCs w:val="22"/>
        </w:rPr>
        <w:t xml:space="preserve">All four BAAs above must be executed immediately. Until BAAs are in place, transmitting ePHI to these vendors creates immediate legal exposure under HIPAA. This is the highest-priority remediation action identified in the practice's Risk Analysis (Risk #1, HIGH severity).</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4. BAA Requirements — Required Elements</w:t>
      </w:r>
    </w:p>
    <w:p>
      <w:pPr>
        <w:spacing w:after="60" w:before="60"/>
      </w:pPr>
      <w:r>
        <w:rPr>
          <w:rFonts w:ascii="Arial" w:cs="Arial" w:eastAsia="Arial" w:hAnsi="Arial"/>
          <w:color w:val="334155"/>
          <w:sz w:val="22"/>
          <w:szCs w:val="22"/>
        </w:rPr>
        <w:t xml:space="preserve">Each BAA must include the following elements per 45 C.F.R. § 164.504(e)(2):</w:t>
      </w:r>
    </w:p>
    <w:p>
      <w:pPr>
        <w:pStyle w:val="ListParagraph"/>
        <w:numPr>
          <w:ilvl w:val="0"/>
          <w:numId w:val="2"/>
        </w:numPr>
        <w:spacing w:after="40" w:before="40"/>
      </w:pPr>
      <w:r>
        <w:rPr>
          <w:rFonts w:ascii="Arial" w:cs="Arial" w:eastAsia="Arial" w:hAnsi="Arial"/>
          <w:color w:val="334155"/>
          <w:sz w:val="22"/>
          <w:szCs w:val="22"/>
        </w:rPr>
        <w:t xml:space="preserve">Permitted uses and disclosures of ePHI by the business associate</w:t>
      </w:r>
    </w:p>
    <w:p>
      <w:pPr>
        <w:pStyle w:val="ListParagraph"/>
        <w:numPr>
          <w:ilvl w:val="0"/>
          <w:numId w:val="2"/>
        </w:numPr>
        <w:spacing w:after="40" w:before="40"/>
      </w:pPr>
      <w:r>
        <w:rPr>
          <w:rFonts w:ascii="Arial" w:cs="Arial" w:eastAsia="Arial" w:hAnsi="Arial"/>
          <w:color w:val="334155"/>
          <w:sz w:val="22"/>
          <w:szCs w:val="22"/>
        </w:rPr>
        <w:t xml:space="preserve">Prohibition on use or disclosure not permitted by the BAA</w:t>
      </w:r>
    </w:p>
    <w:p>
      <w:pPr>
        <w:pStyle w:val="ListParagraph"/>
        <w:numPr>
          <w:ilvl w:val="0"/>
          <w:numId w:val="2"/>
        </w:numPr>
        <w:spacing w:after="40" w:before="40"/>
      </w:pPr>
      <w:r>
        <w:rPr>
          <w:rFonts w:ascii="Arial" w:cs="Arial" w:eastAsia="Arial" w:hAnsi="Arial"/>
          <w:color w:val="334155"/>
          <w:sz w:val="22"/>
          <w:szCs w:val="22"/>
        </w:rPr>
        <w:t xml:space="preserve">Requirement to implement appropriate administrative, physical, and technical safeguards</w:t>
      </w:r>
    </w:p>
    <w:p>
      <w:pPr>
        <w:pStyle w:val="ListParagraph"/>
        <w:numPr>
          <w:ilvl w:val="0"/>
          <w:numId w:val="2"/>
        </w:numPr>
        <w:spacing w:after="40" w:before="40"/>
      </w:pPr>
      <w:r>
        <w:rPr>
          <w:rFonts w:ascii="Arial" w:cs="Arial" w:eastAsia="Arial" w:hAnsi="Arial"/>
          <w:color w:val="334155"/>
          <w:sz w:val="22"/>
          <w:szCs w:val="22"/>
        </w:rPr>
        <w:t xml:space="preserve">Obligation to report any use, disclosure, or breach of ePHI to the covered entity</w:t>
      </w:r>
    </w:p>
    <w:p>
      <w:pPr>
        <w:pStyle w:val="ListParagraph"/>
        <w:numPr>
          <w:ilvl w:val="0"/>
          <w:numId w:val="2"/>
        </w:numPr>
        <w:spacing w:after="40" w:before="40"/>
      </w:pPr>
      <w:r>
        <w:rPr>
          <w:rFonts w:ascii="Arial" w:cs="Arial" w:eastAsia="Arial" w:hAnsi="Arial"/>
          <w:color w:val="334155"/>
          <w:sz w:val="22"/>
          <w:szCs w:val="22"/>
        </w:rPr>
        <w:t xml:space="preserve">Requirement to make ePHI available to the covered entity for access and accounting purposes</w:t>
      </w:r>
    </w:p>
    <w:p>
      <w:pPr>
        <w:pStyle w:val="ListParagraph"/>
        <w:numPr>
          <w:ilvl w:val="0"/>
          <w:numId w:val="2"/>
        </w:numPr>
        <w:spacing w:after="40" w:before="40"/>
      </w:pPr>
      <w:r>
        <w:rPr>
          <w:rFonts w:ascii="Arial" w:cs="Arial" w:eastAsia="Arial" w:hAnsi="Arial"/>
          <w:color w:val="334155"/>
          <w:sz w:val="22"/>
          <w:szCs w:val="22"/>
        </w:rPr>
        <w:t xml:space="preserve">Requirement to return or destroy ePHI upon termination of the business relationship</w:t>
      </w:r>
    </w:p>
    <w:p>
      <w:pPr>
        <w:pStyle w:val="ListParagraph"/>
        <w:numPr>
          <w:ilvl w:val="0"/>
          <w:numId w:val="2"/>
        </w:numPr>
        <w:spacing w:after="40" w:before="40"/>
      </w:pPr>
      <w:r>
        <w:rPr>
          <w:rFonts w:ascii="Arial" w:cs="Arial" w:eastAsia="Arial" w:hAnsi="Arial"/>
          <w:color w:val="334155"/>
          <w:sz w:val="22"/>
          <w:szCs w:val="22"/>
        </w:rPr>
        <w:t xml:space="preserve">Authorization for the covered entity to terminate the contract if the BA violates a material term</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5. BAA Lifecycle Management</w:t>
      </w:r>
    </w:p>
    <w:p>
      <w:pPr>
        <w:pStyle w:val="Heading2"/>
        <w:spacing w:after="80" w:before="220"/>
      </w:pPr>
      <w:r>
        <w:rPr>
          <w:rFonts w:ascii="Arial" w:cs="Arial" w:eastAsia="Arial" w:hAnsi="Arial"/>
          <w:b/>
          <w:bCs/>
          <w:color w:val="334155"/>
          <w:sz w:val="24"/>
          <w:szCs w:val="24"/>
        </w:rPr>
        <w:t xml:space="preserve">5.1  Before Engaging a New Vendor</w:t>
      </w:r>
    </w:p>
    <w:p>
      <w:pPr>
        <w:pStyle w:val="ListParagraph"/>
        <w:numPr>
          <w:ilvl w:val="0"/>
          <w:numId w:val="3"/>
        </w:numPr>
        <w:spacing w:after="40" w:before="40"/>
      </w:pPr>
      <w:r>
        <w:rPr>
          <w:rFonts w:ascii="Arial" w:cs="Arial" w:eastAsia="Arial" w:hAnsi="Arial"/>
          <w:color w:val="334155"/>
          <w:sz w:val="22"/>
          <w:szCs w:val="22"/>
        </w:rPr>
        <w:t xml:space="preserve">Privacy/Security Officer conducts a Business Associate Assessment to determine whether the vendor will have access to ePHI.</w:t>
      </w:r>
    </w:p>
    <w:p>
      <w:pPr>
        <w:pStyle w:val="ListParagraph"/>
        <w:numPr>
          <w:ilvl w:val="0"/>
          <w:numId w:val="3"/>
        </w:numPr>
        <w:spacing w:after="40" w:before="40"/>
      </w:pPr>
      <w:r>
        <w:rPr>
          <w:rFonts w:ascii="Arial" w:cs="Arial" w:eastAsia="Arial" w:hAnsi="Arial"/>
          <w:color w:val="334155"/>
          <w:sz w:val="22"/>
          <w:szCs w:val="22"/>
        </w:rPr>
        <w:t xml:space="preserve">If ePHI access is confirmed, a BAA must be executed before the vendor is granted any access.</w:t>
      </w:r>
    </w:p>
    <w:p>
      <w:pPr>
        <w:pStyle w:val="ListParagraph"/>
        <w:numPr>
          <w:ilvl w:val="0"/>
          <w:numId w:val="3"/>
        </w:numPr>
        <w:spacing w:after="40" w:before="40"/>
      </w:pPr>
      <w:r>
        <w:rPr>
          <w:rFonts w:ascii="Arial" w:cs="Arial" w:eastAsia="Arial" w:hAnsi="Arial"/>
          <w:color w:val="334155"/>
          <w:sz w:val="22"/>
          <w:szCs w:val="22"/>
        </w:rPr>
        <w:t xml:space="preserve">Vendor's security practices must be reviewed (SOC 2 report, security questionnaire, or equivalent).</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5.2  Ongoing Monitoring</w:t>
      </w:r>
    </w:p>
    <w:p>
      <w:pPr>
        <w:pStyle w:val="ListParagraph"/>
        <w:numPr>
          <w:ilvl w:val="0"/>
          <w:numId w:val="4"/>
        </w:numPr>
        <w:spacing w:after="40" w:before="40"/>
      </w:pPr>
      <w:r>
        <w:rPr>
          <w:rFonts w:ascii="Arial" w:cs="Arial" w:eastAsia="Arial" w:hAnsi="Arial"/>
          <w:color w:val="334155"/>
          <w:sz w:val="22"/>
          <w:szCs w:val="22"/>
        </w:rPr>
        <w:t xml:space="preserve">All active BAAs reviewed annually to confirm they are current and compliant.</w:t>
      </w:r>
    </w:p>
    <w:p>
      <w:pPr>
        <w:pStyle w:val="ListParagraph"/>
        <w:numPr>
          <w:ilvl w:val="0"/>
          <w:numId w:val="4"/>
        </w:numPr>
        <w:spacing w:after="40" w:before="40"/>
      </w:pPr>
      <w:r>
        <w:rPr>
          <w:rFonts w:ascii="Arial" w:cs="Arial" w:eastAsia="Arial" w:hAnsi="Arial"/>
          <w:color w:val="334155"/>
          <w:sz w:val="22"/>
          <w:szCs w:val="22"/>
        </w:rPr>
        <w:t xml:space="preserve">Any vendor security incident or breach involving practice ePHI must be reported to the Privacy/Security Officer immediately.</w:t>
      </w:r>
    </w:p>
    <w:p>
      <w:pPr>
        <w:pStyle w:val="ListParagraph"/>
        <w:numPr>
          <w:ilvl w:val="0"/>
          <w:numId w:val="4"/>
        </w:numPr>
        <w:spacing w:after="40" w:before="40"/>
      </w:pPr>
      <w:r>
        <w:rPr>
          <w:rFonts w:ascii="Arial" w:cs="Arial" w:eastAsia="Arial" w:hAnsi="Arial"/>
          <w:color w:val="334155"/>
          <w:sz w:val="22"/>
          <w:szCs w:val="22"/>
        </w:rPr>
        <w:t xml:space="preserve">Vendors that experience a breach must notify the practice within the timeframe specified in the BAA (typically 60 days or less).</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5.3  Vendor Offboarding</w:t>
      </w:r>
    </w:p>
    <w:p>
      <w:pPr>
        <w:pStyle w:val="ListParagraph"/>
        <w:numPr>
          <w:ilvl w:val="0"/>
          <w:numId w:val="5"/>
        </w:numPr>
        <w:spacing w:after="40" w:before="40"/>
      </w:pPr>
      <w:r>
        <w:rPr>
          <w:rFonts w:ascii="Arial" w:cs="Arial" w:eastAsia="Arial" w:hAnsi="Arial"/>
          <w:color w:val="334155"/>
          <w:sz w:val="22"/>
          <w:szCs w:val="22"/>
        </w:rPr>
        <w:t xml:space="preserve">Upon termination of the business relationship, the BAA requirement for return or destruction of ePHI must be enforced.</w:t>
      </w:r>
    </w:p>
    <w:p>
      <w:pPr>
        <w:pStyle w:val="ListParagraph"/>
        <w:numPr>
          <w:ilvl w:val="0"/>
          <w:numId w:val="5"/>
        </w:numPr>
        <w:spacing w:after="40" w:before="40"/>
      </w:pPr>
      <w:r>
        <w:rPr>
          <w:rFonts w:ascii="Arial" w:cs="Arial" w:eastAsia="Arial" w:hAnsi="Arial"/>
          <w:color w:val="334155"/>
          <w:sz w:val="22"/>
          <w:szCs w:val="22"/>
        </w:rPr>
        <w:t xml:space="preserve">Obtain written confirmation of ePHI destruction/return within 30 days of termination.</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6. BAA Register</w:t>
      </w:r>
    </w:p>
    <w:p>
      <w:pPr>
        <w:spacing w:after="60" w:before="60"/>
      </w:pPr>
      <w:r>
        <w:rPr>
          <w:rFonts w:ascii="Arial" w:cs="Arial" w:eastAsia="Arial" w:hAnsi="Arial"/>
          <w:color w:val="334155"/>
          <w:sz w:val="22"/>
          <w:szCs w:val="22"/>
        </w:rPr>
        <w:t xml:space="preserve">The Privacy/Security Officer maintains a BAA Register with the following information for each vendor:</w:t>
      </w:r>
    </w:p>
    <w:p>
      <w:pPr>
        <w:pStyle w:val="ListParagraph"/>
        <w:numPr>
          <w:ilvl w:val="0"/>
          <w:numId w:val="2"/>
        </w:numPr>
        <w:spacing w:after="40" w:before="40"/>
      </w:pPr>
      <w:r>
        <w:rPr>
          <w:rFonts w:ascii="Arial" w:cs="Arial" w:eastAsia="Arial" w:hAnsi="Arial"/>
          <w:color w:val="334155"/>
          <w:sz w:val="22"/>
          <w:szCs w:val="22"/>
        </w:rPr>
        <w:t xml:space="preserve">Vendor name and primary contact</w:t>
      </w:r>
    </w:p>
    <w:p>
      <w:pPr>
        <w:pStyle w:val="ListParagraph"/>
        <w:numPr>
          <w:ilvl w:val="0"/>
          <w:numId w:val="2"/>
        </w:numPr>
        <w:spacing w:after="40" w:before="40"/>
      </w:pPr>
      <w:r>
        <w:rPr>
          <w:rFonts w:ascii="Arial" w:cs="Arial" w:eastAsia="Arial" w:hAnsi="Arial"/>
          <w:color w:val="334155"/>
          <w:sz w:val="22"/>
          <w:szCs w:val="22"/>
        </w:rPr>
        <w:t xml:space="preserve">Description of ePHI disclosed to vendor</w:t>
      </w:r>
    </w:p>
    <w:p>
      <w:pPr>
        <w:pStyle w:val="ListParagraph"/>
        <w:numPr>
          <w:ilvl w:val="0"/>
          <w:numId w:val="2"/>
        </w:numPr>
        <w:spacing w:after="40" w:before="40"/>
      </w:pPr>
      <w:r>
        <w:rPr>
          <w:rFonts w:ascii="Arial" w:cs="Arial" w:eastAsia="Arial" w:hAnsi="Arial"/>
          <w:color w:val="334155"/>
          <w:sz w:val="22"/>
          <w:szCs w:val="22"/>
        </w:rPr>
        <w:t xml:space="preserve">Date BAA was executed</w:t>
      </w:r>
    </w:p>
    <w:p>
      <w:pPr>
        <w:pStyle w:val="ListParagraph"/>
        <w:numPr>
          <w:ilvl w:val="0"/>
          <w:numId w:val="2"/>
        </w:numPr>
        <w:spacing w:after="40" w:before="40"/>
      </w:pPr>
      <w:r>
        <w:rPr>
          <w:rFonts w:ascii="Arial" w:cs="Arial" w:eastAsia="Arial" w:hAnsi="Arial"/>
          <w:color w:val="334155"/>
          <w:sz w:val="22"/>
          <w:szCs w:val="22"/>
        </w:rPr>
        <w:t xml:space="preserve">Date of most recent review</w:t>
      </w:r>
    </w:p>
    <w:p>
      <w:pPr>
        <w:pStyle w:val="ListParagraph"/>
        <w:numPr>
          <w:ilvl w:val="0"/>
          <w:numId w:val="2"/>
        </w:numPr>
        <w:spacing w:after="40" w:before="40"/>
      </w:pPr>
      <w:r>
        <w:rPr>
          <w:rFonts w:ascii="Arial" w:cs="Arial" w:eastAsia="Arial" w:hAnsi="Arial"/>
          <w:color w:val="334155"/>
          <w:sz w:val="22"/>
          <w:szCs w:val="22"/>
        </w:rPr>
        <w:t xml:space="preserve">BAA expiration date (if applicable)</w:t>
      </w:r>
    </w:p>
    <w:p>
      <w:pPr>
        <w:pStyle w:val="ListParagraph"/>
        <w:numPr>
          <w:ilvl w:val="0"/>
          <w:numId w:val="2"/>
        </w:numPr>
        <w:spacing w:after="40" w:before="40"/>
      </w:pPr>
      <w:r>
        <w:rPr>
          <w:rFonts w:ascii="Arial" w:cs="Arial" w:eastAsia="Arial" w:hAnsi="Arial"/>
          <w:color w:val="334155"/>
          <w:sz w:val="22"/>
          <w:szCs w:val="22"/>
        </w:rPr>
        <w:t xml:space="preserve">Location of signed BAA document</w:t>
      </w:r>
    </w:p>
    <w:p>
      <w:pPr>
        <w:spacing w:after="60" w:before="60"/>
      </w:pPr>
      <w:r>
        <w:rPr>
          <w:rFonts w:ascii="Arial" w:cs="Arial" w:eastAsia="Arial" w:hAnsi="Arial"/>
          <w:color w:val="334155"/>
          <w:sz w:val="22"/>
          <w:szCs w:val="22"/>
        </w:rPr>
        <w:t xml:space="preserve">BAA Register retained for six (6) years after termination of the business relationship.</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7. Sanctions</w:t>
      </w:r>
    </w:p>
    <w:p>
      <w:pPr>
        <w:spacing w:after="60" w:before="60"/>
      </w:pPr>
      <w:r>
        <w:rPr>
          <w:rFonts w:ascii="Arial" w:cs="Arial" w:eastAsia="Arial" w:hAnsi="Arial"/>
          <w:color w:val="334155"/>
          <w:sz w:val="22"/>
          <w:szCs w:val="22"/>
        </w:rPr>
        <w:t xml:space="preserve">Any workforce member who engages a new vendor with access to ePHI without first obtaining an executed BAA is subject to disciplinary action. The practice may also be subject to civil monetary penalties imposed by HHS OCR for failure to maintain BAAs.</w:t>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 /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 — March 20,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64748B"/>
        <w:sz w:val="16"/>
        <w:szCs w:val="16"/>
      </w:rPr>
      <w:t xml:space="preserve">Internal Use Only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4748B"/>
        <w:sz w:val="17"/>
        <w:szCs w:val="17"/>
      </w:rPr>
      <w:t xml:space="preserve">Valiant Direct Primary Care  |  Business Associate Agreement Management Policy</w:t>
    </w:r>
    <w:r>
      <w:rPr>
        <w:rFonts w:ascii="Arial" w:cs="Arial" w:eastAsia="Arial" w:hAnsi="Arial"/>
        <w:b/>
        <w:bCs/>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2026-03-20T14:53:57.452Z</dcterms:created>
  <dcterms:modified xsi:type="dcterms:W3CDTF">2026-03-20T14:53:57.452Z</dcterms:modified>
</cp:coreProperties>
</file>

<file path=docProps/custom.xml><?xml version="1.0" encoding="utf-8"?>
<Properties xmlns="http://schemas.openxmlformats.org/officeDocument/2006/custom-properties" xmlns:vt="http://schemas.openxmlformats.org/officeDocument/2006/docPropsVTypes"/>
</file>