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80"/>
        <w:jc w:val="center"/>
      </w:pPr>
      <w:r>
        <w:rPr>
          <w:rFonts w:ascii="Arial" w:cs="Arial" w:eastAsia="Arial" w:hAnsi="Arial"/>
          <w:b/>
          <w:bCs/>
          <w:color w:val="1E3A5F"/>
          <w:sz w:val="34"/>
          <w:szCs w:val="34"/>
        </w:rPr>
        <w:t xml:space="preserve">Valiant Direct Primary Care</w:t>
      </w:r>
    </w:p>
    <w:p>
      <w:pPr>
        <w:spacing w:after="80" w:before="80"/>
        <w:jc w:val="center"/>
      </w:pPr>
      <w:r>
        <w:rPr>
          <w:rFonts w:ascii="Arial" w:cs="Arial" w:eastAsia="Arial" w:hAnsi="Arial"/>
          <w:b/>
          <w:bCs/>
          <w:color w:val="1E3A5F"/>
          <w:sz w:val="48"/>
          <w:szCs w:val="48"/>
        </w:rPr>
        <w:t xml:space="preserve">Downtime &amp; Business
Continuity Procedure</w:t>
      </w:r>
    </w:p>
    <w:p>
      <w:pPr>
        <w:spacing w:after="280"/>
        <w:jc w:val="center"/>
      </w:pPr>
      <w:r>
        <w:rPr>
          <w:rFonts w:ascii="Arial" w:cs="Arial" w:eastAsia="Arial" w:hAnsi="Arial"/>
          <w:color w:val="64748B"/>
          <w:sz w:val="24"/>
          <w:szCs w:val="24"/>
        </w:rPr>
        <w:t xml:space="preserve">Physical Safeguards — System Availability &amp; Contingency Planning</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DC2626" w:sz="8"/>
              <w:left w:val="single" w:color="DC2626" w:sz="8"/>
              <w:bottom w:val="single" w:color="DC2626" w:sz="8"/>
              <w:right w:val="single" w:color="DC2626" w:sz="8"/>
            </w:tcBorders>
            <w:shd w:fill="FEE2E2" w:val="clear"/>
            <w:tcMar>
              <w:top w:type="dxa" w:w="120"/>
              <w:left w:type="dxa" w:w="240"/>
              <w:bottom w:type="dxa" w:w="120"/>
              <w:right w:type="dxa" w:w="240"/>
            </w:tcMar>
          </w:tcPr>
          <w:p>
            <w:pPr>
              <w:jc w:val="center"/>
            </w:pPr>
            <w:r>
              <w:rPr>
                <w:rFonts w:ascii="Arial" w:cs="Arial" w:eastAsia="Arial" w:hAnsi="Arial"/>
                <w:b/>
                <w:bCs/>
                <w:color w:val="DC2626"/>
                <w:sz w:val="22"/>
                <w:szCs w:val="22"/>
              </w:rPr>
              <w:t xml:space="preserve">CONFIDENTIAL — INTERNAL USE ONLY</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Policy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POL-PHYS-003</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Effective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Next Review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2027</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Document Owner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Approved By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Regulatory Basis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164.310 — HIPAA Security Rule (Physical Safeguards)</w:t>
            </w:r>
          </w:p>
        </w:tc>
      </w:tr>
    </w:tbl>
    <w:p>
      <w:r>
        <w:br w:type="page"/>
      </w:r>
    </w:p>
    <w:p>
      <w:pPr>
        <w:pStyle w:val="Heading1"/>
        <w:pBdr>
          <w:bottom w:val="single" w:color="1E3A5F" w:sz="6" w:space="4"/>
        </w:pBdr>
        <w:spacing w:after="100" w:before="320"/>
      </w:pPr>
      <w:r>
        <w:rPr>
          <w:rFonts w:ascii="Arial" w:cs="Arial" w:eastAsia="Arial" w:hAnsi="Arial"/>
          <w:b/>
          <w:bCs/>
          <w:color w:val="1E3A5F"/>
          <w:sz w:val="28"/>
          <w:szCs w:val="28"/>
        </w:rPr>
        <w:t xml:space="preserve">1. Purpose</w:t>
      </w:r>
    </w:p>
    <w:p>
      <w:pPr>
        <w:spacing w:after="60" w:before="60"/>
      </w:pPr>
      <w:r>
        <w:rPr>
          <w:rFonts w:ascii="Arial" w:cs="Arial" w:eastAsia="Arial" w:hAnsi="Arial"/>
          <w:color w:val="334155"/>
          <w:sz w:val="22"/>
          <w:szCs w:val="22"/>
        </w:rPr>
        <w:t xml:space="preserve">This procedure establishes plans for maintaining clinical operations and protecting ePHI during unplanned outages of the MedFlow EMR or its supporting infrastructure (Railway cloud services). It ensures that care can continue safely and that ePHI is not compromised or permanently lost during system unavailability.</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DBEAFE" w:val="clear"/>
            <w:tcMar>
              <w:top w:type="dxa" w:w="120"/>
              <w:left w:type="dxa" w:w="160"/>
              <w:bottom w:type="dxa" w:w="120"/>
              <w:right w:type="dxa" w:w="160"/>
            </w:tcMar>
          </w:tcPr>
          <w:p>
            <w:pPr>
              <w:spacing w:after="60" w:before="60"/>
            </w:pPr>
            <w:r>
              <w:rPr>
                <w:rFonts w:ascii="Arial" w:cs="Arial" w:eastAsia="Arial" w:hAnsi="Arial"/>
                <w:color w:val="334155"/>
                <w:sz w:val="22"/>
                <w:szCs w:val="22"/>
              </w:rPr>
              <w:t xml:space="preserve">Regulatory Basis: 45 C.F.R. § 164.308(a)(7) — Contingency Plan (Required): Data Backup Plan, Disaster Recovery Plan, Emergency Mode Operation Plan, Testing and Revision Procedures. 45 C.F.R. § 164.310(a)(2)(i) — Contingency Operations (Addressable).</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2. Scope</w:t>
      </w:r>
    </w:p>
    <w:p>
      <w:pPr>
        <w:spacing w:after="60" w:before="60"/>
      </w:pPr>
      <w:r>
        <w:rPr>
          <w:rFonts w:ascii="Arial" w:cs="Arial" w:eastAsia="Arial" w:hAnsi="Arial"/>
          <w:color w:val="334155"/>
          <w:sz w:val="22"/>
          <w:szCs w:val="22"/>
        </w:rPr>
        <w:t xml:space="preserve">Applies to any situation in which the MedFlow EMR is unavailable for more than 15 minutes, including:</w:t>
      </w:r>
    </w:p>
    <w:p>
      <w:pPr>
        <w:pStyle w:val="ListParagraph"/>
        <w:numPr>
          <w:ilvl w:val="0"/>
          <w:numId w:val="2"/>
        </w:numPr>
        <w:spacing w:after="40" w:before="40"/>
      </w:pPr>
      <w:r>
        <w:rPr>
          <w:rFonts w:ascii="Arial" w:cs="Arial" w:eastAsia="Arial" w:hAnsi="Arial"/>
          <w:color w:val="334155"/>
          <w:sz w:val="22"/>
          <w:szCs w:val="22"/>
        </w:rPr>
        <w:t xml:space="preserve">Railway cloud infrastructure outages or maintenance windows</w:t>
      </w:r>
    </w:p>
    <w:p>
      <w:pPr>
        <w:pStyle w:val="ListParagraph"/>
        <w:numPr>
          <w:ilvl w:val="0"/>
          <w:numId w:val="2"/>
        </w:numPr>
        <w:spacing w:after="40" w:before="40"/>
      </w:pPr>
      <w:r>
        <w:rPr>
          <w:rFonts w:ascii="Arial" w:cs="Arial" w:eastAsia="Arial" w:hAnsi="Arial"/>
          <w:color w:val="334155"/>
          <w:sz w:val="22"/>
          <w:szCs w:val="22"/>
        </w:rPr>
        <w:t xml:space="preserve">Internet connectivity failures at the practice location</w:t>
      </w:r>
    </w:p>
    <w:p>
      <w:pPr>
        <w:pStyle w:val="ListParagraph"/>
        <w:numPr>
          <w:ilvl w:val="0"/>
          <w:numId w:val="2"/>
        </w:numPr>
        <w:spacing w:after="40" w:before="40"/>
      </w:pPr>
      <w:r>
        <w:rPr>
          <w:rFonts w:ascii="Arial" w:cs="Arial" w:eastAsia="Arial" w:hAnsi="Arial"/>
          <w:color w:val="334155"/>
          <w:sz w:val="22"/>
          <w:szCs w:val="22"/>
        </w:rPr>
        <w:t xml:space="preserve">EMR application errors or database corruption</w:t>
      </w:r>
    </w:p>
    <w:p>
      <w:pPr>
        <w:pStyle w:val="ListParagraph"/>
        <w:numPr>
          <w:ilvl w:val="0"/>
          <w:numId w:val="2"/>
        </w:numPr>
        <w:spacing w:after="40" w:before="40"/>
      </w:pPr>
      <w:r>
        <w:rPr>
          <w:rFonts w:ascii="Arial" w:cs="Arial" w:eastAsia="Arial" w:hAnsi="Arial"/>
          <w:color w:val="334155"/>
          <w:sz w:val="22"/>
          <w:szCs w:val="22"/>
        </w:rPr>
        <w:t xml:space="preserve">Ransomware or other malicious disruption</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3. Outage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Level</w:t>
            </w:r>
          </w:p>
        </w:tc>
        <w:tc>
          <w:tcPr>
            <w:tcW w:type="dxa" w:w="18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Duration</w:t>
            </w:r>
          </w:p>
        </w:tc>
        <w:tc>
          <w:tcPr>
            <w:tcW w:type="dxa" w:w="59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Response</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Level 1</w:t>
            </w:r>
          </w:p>
        </w:tc>
        <w:tc>
          <w:tcPr>
            <w:tcW w:type="dxa" w:w="18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&lt; 1 hour</w:t>
            </w:r>
          </w:p>
        </w:tc>
        <w:tc>
          <w:tcPr>
            <w:tcW w:type="dxa" w:w="5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Paper downtime forms; attempt self-resolution (see Section 5.1)</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Level 2</w:t>
            </w:r>
          </w:p>
        </w:tc>
        <w:tc>
          <w:tcPr>
            <w:tcW w:type="dxa" w:w="18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1–4 hours</w:t>
            </w:r>
          </w:p>
        </w:tc>
        <w:tc>
          <w:tcPr>
            <w:tcW w:type="dxa" w:w="5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Full downtime procedures activated; notify all clinical staff; contact Railway support</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Level 3</w:t>
            </w:r>
          </w:p>
        </w:tc>
        <w:tc>
          <w:tcPr>
            <w:tcW w:type="dxa" w:w="18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&gt; 4 hours</w:t>
            </w:r>
          </w:p>
        </w:tc>
        <w:tc>
          <w:tcPr>
            <w:tcW w:type="dxa" w:w="59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Emergency mode: consider rescheduling non-urgent appointments; consider escalation to DR recovery</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4. Data Backup &amp;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Recovery Time Objective (RTO)</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Target: restore EMR access within 4 hours for Level 2; 24 hours for Level 3</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Recovery Point Objective (RPO)</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Maximum 24 hours of data loss acceptable (daily backup minimum); target &lt; 1 hour with Railway point-in-time recovery</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Backup Location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Railway automated PostgreSQL backups (configure in Railway Dashboard → Database → Backups)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Backup Frequency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Minimum daily; Railway supports up to continuous WAL archiving on paid plans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Backup Retention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Minimum 30 days; retain annual snapshots for 7 years per data retention policy</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5. Downtime Procedures</w:t>
      </w:r>
    </w:p>
    <w:p>
      <w:pPr>
        <w:pStyle w:val="Heading2"/>
        <w:spacing w:after="80" w:before="220"/>
      </w:pPr>
      <w:r>
        <w:rPr>
          <w:rFonts w:ascii="Arial" w:cs="Arial" w:eastAsia="Arial" w:hAnsi="Arial"/>
          <w:b/>
          <w:bCs/>
          <w:color w:val="334155"/>
          <w:sz w:val="24"/>
          <w:szCs w:val="24"/>
        </w:rPr>
        <w:t xml:space="preserve">5.1  Immediate Response (All Levels — First 15 Minutes)</w:t>
      </w:r>
    </w:p>
    <w:p>
      <w:pPr>
        <w:pStyle w:val="ListParagraph"/>
        <w:numPr>
          <w:ilvl w:val="0"/>
          <w:numId w:val="3"/>
        </w:numPr>
        <w:spacing w:after="40" w:before="40"/>
      </w:pPr>
      <w:r>
        <w:rPr>
          <w:rFonts w:ascii="Arial" w:cs="Arial" w:eastAsia="Arial" w:hAnsi="Arial"/>
          <w:color w:val="334155"/>
          <w:sz w:val="22"/>
          <w:szCs w:val="22"/>
        </w:rPr>
        <w:t xml:space="preserve">Confirm the outage is system-wide: have a colleague on a different device attempt to access the EMR.</w:t>
      </w:r>
    </w:p>
    <w:p>
      <w:pPr>
        <w:pStyle w:val="ListParagraph"/>
        <w:numPr>
          <w:ilvl w:val="0"/>
          <w:numId w:val="3"/>
        </w:numPr>
        <w:spacing w:after="40" w:before="40"/>
      </w:pPr>
      <w:r>
        <w:rPr>
          <w:rFonts w:ascii="Arial" w:cs="Arial" w:eastAsia="Arial" w:hAnsi="Arial"/>
          <w:color w:val="334155"/>
          <w:sz w:val="22"/>
          <w:szCs w:val="22"/>
        </w:rPr>
        <w:t xml:space="preserve">Check Railway status page (status.railway.app) for known infrastructure incidents.</w:t>
      </w:r>
    </w:p>
    <w:p>
      <w:pPr>
        <w:pStyle w:val="ListParagraph"/>
        <w:numPr>
          <w:ilvl w:val="0"/>
          <w:numId w:val="3"/>
        </w:numPr>
        <w:spacing w:after="40" w:before="40"/>
      </w:pPr>
      <w:r>
        <w:rPr>
          <w:rFonts w:ascii="Arial" w:cs="Arial" w:eastAsia="Arial" w:hAnsi="Arial"/>
          <w:color w:val="334155"/>
          <w:sz w:val="22"/>
          <w:szCs w:val="22"/>
        </w:rPr>
        <w:t xml:space="preserve">Check practice internet connectivity: attempt to access an external website.</w:t>
      </w:r>
    </w:p>
    <w:p>
      <w:pPr>
        <w:pStyle w:val="ListParagraph"/>
        <w:numPr>
          <w:ilvl w:val="0"/>
          <w:numId w:val="3"/>
        </w:numPr>
        <w:spacing w:after="40" w:before="40"/>
      </w:pPr>
      <w:r>
        <w:rPr>
          <w:rFonts w:ascii="Arial" w:cs="Arial" w:eastAsia="Arial" w:hAnsi="Arial"/>
          <w:color w:val="334155"/>
          <w:sz w:val="22"/>
          <w:szCs w:val="22"/>
        </w:rPr>
        <w:t xml:space="preserve">If system-wide, notify all clinical staff and activate downtime mode.</w:t>
      </w:r>
    </w:p>
    <w:p>
      <w:pPr>
        <w:pStyle w:val="ListParagraph"/>
        <w:numPr>
          <w:ilvl w:val="0"/>
          <w:numId w:val="3"/>
        </w:numPr>
        <w:spacing w:after="40" w:before="40"/>
      </w:pPr>
      <w:r>
        <w:rPr>
          <w:rFonts w:ascii="Arial" w:cs="Arial" w:eastAsia="Arial" w:hAnsi="Arial"/>
          <w:color w:val="334155"/>
          <w:sz w:val="22"/>
          <w:szCs w:val="22"/>
        </w:rPr>
        <w:t xml:space="preserve">Assign a Downtime Coordinator (Practice Administrator or designated senior staff).</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5.2  Clinical Operations During Downtime</w:t>
      </w:r>
    </w:p>
    <w:p>
      <w:pPr>
        <w:spacing w:after="60" w:before="60"/>
      </w:pPr>
      <w:r>
        <w:rPr>
          <w:rFonts w:ascii="Arial" w:cs="Arial" w:eastAsia="Arial" w:hAnsi="Arial"/>
          <w:color w:val="334155"/>
          <w:sz w:val="22"/>
          <w:szCs w:val="22"/>
        </w:rPr>
        <w:t xml:space="preserve">The following paper-based downtime forms must be kept printed and accessible at all times at the reception and nurse 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Form</w:t>
            </w:r>
          </w:p>
        </w:tc>
        <w:tc>
          <w:tcPr>
            <w:tcW w:type="dxa" w:w="63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Purpose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Downtime Patient Visit Record</w:t>
            </w:r>
          </w:p>
        </w:tc>
        <w:tc>
          <w:tcPr>
            <w:tcW w:type="dxa" w:w="63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Capture visit date, chief complaint, vitals, assessment, plan, medications reviewed</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Medication List (most recent)</w:t>
            </w:r>
          </w:p>
        </w:tc>
        <w:tc>
          <w:tcPr>
            <w:tcW w:type="dxa" w:w="63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Pre-printed from EMR at start of each day; keep one copy per scheduled patient</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Lab Order Form (paper)</w:t>
            </w:r>
          </w:p>
        </w:tc>
        <w:tc>
          <w:tcPr>
            <w:tcW w:type="dxa" w:w="63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Blank LabCorp paper requisition forms</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Imaging Order Form (paper)</w:t>
            </w:r>
          </w:p>
        </w:tc>
        <w:tc>
          <w:tcPr>
            <w:tcW w:type="dxa" w:w="63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Blank paper imaging requisition with fax cover sheet</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Prescription Pad</w:t>
            </w:r>
          </w:p>
        </w:tc>
        <w:tc>
          <w:tcPr>
            <w:tcW w:type="dxa" w:w="63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For non-controlled substances; controlled substances require EPCS which needs EMR</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Appointment Log</w:t>
            </w:r>
          </w:p>
        </w:tc>
        <w:tc>
          <w:tcPr>
            <w:tcW w:type="dxa" w:w="63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Manual log of patients seen, times, and reason for visit</w:t>
            </w:r>
          </w:p>
        </w:tc>
      </w:tr>
    </w:tbl>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5.3  Preparing for Downtime (Proactive Measures)</w:t>
      </w:r>
    </w:p>
    <w:p>
      <w:pPr>
        <w:pStyle w:val="ListParagraph"/>
        <w:numPr>
          <w:ilvl w:val="0"/>
          <w:numId w:val="2"/>
        </w:numPr>
        <w:spacing w:after="40" w:before="40"/>
      </w:pPr>
      <w:r>
        <w:rPr>
          <w:rFonts w:ascii="Arial" w:cs="Arial" w:eastAsia="Arial" w:hAnsi="Arial"/>
          <w:color w:val="334155"/>
          <w:sz w:val="22"/>
          <w:szCs w:val="22"/>
        </w:rPr>
        <w:t xml:space="preserve">Print the daily schedule and patient medication summaries each morning before clinic hours begin</w:t>
      </w:r>
    </w:p>
    <w:p>
      <w:pPr>
        <w:pStyle w:val="ListParagraph"/>
        <w:numPr>
          <w:ilvl w:val="0"/>
          <w:numId w:val="2"/>
        </w:numPr>
        <w:spacing w:after="40" w:before="40"/>
      </w:pPr>
      <w:r>
        <w:rPr>
          <w:rFonts w:ascii="Arial" w:cs="Arial" w:eastAsia="Arial" w:hAnsi="Arial"/>
          <w:color w:val="334155"/>
          <w:sz w:val="22"/>
          <w:szCs w:val="22"/>
        </w:rPr>
        <w:t xml:space="preserve">Keep a minimum of 50 copies of each paper form stocked and accessible</w:t>
      </w:r>
    </w:p>
    <w:p>
      <w:pPr>
        <w:pStyle w:val="ListParagraph"/>
        <w:numPr>
          <w:ilvl w:val="0"/>
          <w:numId w:val="2"/>
        </w:numPr>
        <w:spacing w:after="40" w:before="40"/>
      </w:pPr>
      <w:r>
        <w:rPr>
          <w:rFonts w:ascii="Arial" w:cs="Arial" w:eastAsia="Arial" w:hAnsi="Arial"/>
          <w:color w:val="334155"/>
          <w:sz w:val="22"/>
          <w:szCs w:val="22"/>
        </w:rPr>
        <w:t xml:space="preserve">Maintain emergency contact numbers for Railway support, Telnyx, and LabCorp posted at each workstation</w:t>
      </w:r>
    </w:p>
    <w:p>
      <w:pPr>
        <w:pStyle w:val="ListParagraph"/>
        <w:numPr>
          <w:ilvl w:val="0"/>
          <w:numId w:val="2"/>
        </w:numPr>
        <w:spacing w:after="40" w:before="40"/>
      </w:pPr>
      <w:r>
        <w:rPr>
          <w:rFonts w:ascii="Arial" w:cs="Arial" w:eastAsia="Arial" w:hAnsi="Arial"/>
          <w:color w:val="334155"/>
          <w:sz w:val="22"/>
          <w:szCs w:val="22"/>
        </w:rPr>
        <w:t xml:space="preserve">Test downtime procedure annually (see Section 7)</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6. System Restoration Procedure</w:t>
      </w:r>
    </w:p>
    <w:p>
      <w:pPr>
        <w:pStyle w:val="ListParagraph"/>
        <w:numPr>
          <w:ilvl w:val="0"/>
          <w:numId w:val="4"/>
        </w:numPr>
        <w:spacing w:after="40" w:before="40"/>
      </w:pPr>
      <w:r>
        <w:rPr>
          <w:rFonts w:ascii="Arial" w:cs="Arial" w:eastAsia="Arial" w:hAnsi="Arial"/>
          <w:color w:val="334155"/>
          <w:sz w:val="22"/>
          <w:szCs w:val="22"/>
        </w:rPr>
        <w:t xml:space="preserve">Downtime Coordinator confirms system is restored and accessible.</w:t>
      </w:r>
    </w:p>
    <w:p>
      <w:pPr>
        <w:pStyle w:val="ListParagraph"/>
        <w:numPr>
          <w:ilvl w:val="0"/>
          <w:numId w:val="4"/>
        </w:numPr>
        <w:spacing w:after="40" w:before="40"/>
      </w:pPr>
      <w:r>
        <w:rPr>
          <w:rFonts w:ascii="Arial" w:cs="Arial" w:eastAsia="Arial" w:hAnsi="Arial"/>
          <w:color w:val="334155"/>
          <w:sz w:val="22"/>
          <w:szCs w:val="22"/>
        </w:rPr>
        <w:t xml:space="preserve">All paper records completed during downtime must be entered into the EMR within 24 hours of restoration.</w:t>
      </w:r>
    </w:p>
    <w:p>
      <w:pPr>
        <w:pStyle w:val="ListParagraph"/>
        <w:numPr>
          <w:ilvl w:val="0"/>
          <w:numId w:val="4"/>
        </w:numPr>
        <w:spacing w:after="40" w:before="40"/>
      </w:pPr>
      <w:r>
        <w:rPr>
          <w:rFonts w:ascii="Arial" w:cs="Arial" w:eastAsia="Arial" w:hAnsi="Arial"/>
          <w:color w:val="334155"/>
          <w:sz w:val="22"/>
          <w:szCs w:val="22"/>
        </w:rPr>
        <w:t xml:space="preserve">Original paper records are retained for 30 days after entry as a reconciliation audit trail, then shredded per POL-HIPAA-004.</w:t>
      </w:r>
    </w:p>
    <w:p>
      <w:pPr>
        <w:pStyle w:val="ListParagraph"/>
        <w:numPr>
          <w:ilvl w:val="0"/>
          <w:numId w:val="4"/>
        </w:numPr>
        <w:spacing w:after="40" w:before="40"/>
      </w:pPr>
      <w:r>
        <w:rPr>
          <w:rFonts w:ascii="Arial" w:cs="Arial" w:eastAsia="Arial" w:hAnsi="Arial"/>
          <w:color w:val="334155"/>
          <w:sz w:val="22"/>
          <w:szCs w:val="22"/>
        </w:rPr>
        <w:t xml:space="preserve">Downtime Coordinator completes a Downtime Incident Report documenting: start time, end time, cause (if known), number of patients affected, and any data gaps.</w:t>
      </w:r>
    </w:p>
    <w:p>
      <w:pPr>
        <w:pStyle w:val="ListParagraph"/>
        <w:numPr>
          <w:ilvl w:val="0"/>
          <w:numId w:val="4"/>
        </w:numPr>
        <w:spacing w:after="40" w:before="40"/>
      </w:pPr>
      <w:r>
        <w:rPr>
          <w:rFonts w:ascii="Arial" w:cs="Arial" w:eastAsia="Arial" w:hAnsi="Arial"/>
          <w:color w:val="334155"/>
          <w:sz w:val="22"/>
          <w:szCs w:val="22"/>
        </w:rPr>
        <w:t xml:space="preserve">If data loss is suspected, initiate investigation per POL-HIPAA-002 (Incident Response Plan).</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7. Disaster Recovery — Extended Outage (&gt; 24 Hours)</w:t>
      </w:r>
    </w:p>
    <w:p>
      <w:pPr>
        <w:pStyle w:val="ListParagraph"/>
        <w:numPr>
          <w:ilvl w:val="0"/>
          <w:numId w:val="5"/>
        </w:numPr>
        <w:spacing w:after="40" w:before="40"/>
      </w:pPr>
      <w:r>
        <w:rPr>
          <w:rFonts w:ascii="Arial" w:cs="Arial" w:eastAsia="Arial" w:hAnsi="Arial"/>
          <w:color w:val="334155"/>
          <w:sz w:val="22"/>
          <w:szCs w:val="22"/>
        </w:rPr>
        <w:t xml:space="preserve">Contact Railway support to initiate database restore from latest backup.</w:t>
      </w:r>
    </w:p>
    <w:p>
      <w:pPr>
        <w:pStyle w:val="ListParagraph"/>
        <w:numPr>
          <w:ilvl w:val="0"/>
          <w:numId w:val="5"/>
        </w:numPr>
        <w:spacing w:after="40" w:before="40"/>
      </w:pPr>
      <w:r>
        <w:rPr>
          <w:rFonts w:ascii="Arial" w:cs="Arial" w:eastAsia="Arial" w:hAnsi="Arial"/>
          <w:color w:val="334155"/>
          <w:sz w:val="22"/>
          <w:szCs w:val="22"/>
        </w:rPr>
        <w:t xml:space="preserve">If Railway infrastructure is unavailable indefinitely, evaluate migration to backup hosting provider.</w:t>
      </w:r>
    </w:p>
    <w:p>
      <w:pPr>
        <w:pStyle w:val="ListParagraph"/>
        <w:numPr>
          <w:ilvl w:val="0"/>
          <w:numId w:val="5"/>
        </w:numPr>
        <w:spacing w:after="40" w:before="40"/>
      </w:pPr>
      <w:r>
        <w:rPr>
          <w:rFonts w:ascii="Arial" w:cs="Arial" w:eastAsia="Arial" w:hAnsi="Arial"/>
          <w:color w:val="334155"/>
          <w:sz w:val="22"/>
          <w:szCs w:val="22"/>
        </w:rPr>
        <w:t xml:space="preserve">Notify patients of any appointment delays or rescheduling needs.</w:t>
      </w:r>
    </w:p>
    <w:p>
      <w:pPr>
        <w:pStyle w:val="ListParagraph"/>
        <w:numPr>
          <w:ilvl w:val="0"/>
          <w:numId w:val="5"/>
        </w:numPr>
        <w:spacing w:after="40" w:before="40"/>
      </w:pPr>
      <w:r>
        <w:rPr>
          <w:rFonts w:ascii="Arial" w:cs="Arial" w:eastAsia="Arial" w:hAnsi="Arial"/>
          <w:color w:val="334155"/>
          <w:sz w:val="22"/>
          <w:szCs w:val="22"/>
        </w:rPr>
        <w:t xml:space="preserve">If ePHI may have been lost or corrupted, treat as a potential breach per POL-HIPAA-002.</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8. Annual Testing</w:t>
      </w:r>
    </w:p>
    <w:p>
      <w:pPr>
        <w:spacing w:after="60" w:before="60"/>
      </w:pPr>
      <w:r>
        <w:rPr>
          <w:rFonts w:ascii="Arial" w:cs="Arial" w:eastAsia="Arial" w:hAnsi="Arial"/>
          <w:color w:val="334155"/>
          <w:sz w:val="22"/>
          <w:szCs w:val="22"/>
        </w:rPr>
        <w:t xml:space="preserve">The Practice Administrator must conduct an annual downtime drill covering:</w:t>
      </w:r>
    </w:p>
    <w:p>
      <w:pPr>
        <w:pStyle w:val="ListParagraph"/>
        <w:numPr>
          <w:ilvl w:val="0"/>
          <w:numId w:val="2"/>
        </w:numPr>
        <w:spacing w:after="40" w:before="40"/>
      </w:pPr>
      <w:r>
        <w:rPr>
          <w:rFonts w:ascii="Arial" w:cs="Arial" w:eastAsia="Arial" w:hAnsi="Arial"/>
          <w:color w:val="334155"/>
          <w:sz w:val="22"/>
          <w:szCs w:val="22"/>
        </w:rPr>
        <w:t xml:space="preserve">Simulated 2-hour EMR outage during a scheduled test window</w:t>
      </w:r>
    </w:p>
    <w:p>
      <w:pPr>
        <w:pStyle w:val="ListParagraph"/>
        <w:numPr>
          <w:ilvl w:val="0"/>
          <w:numId w:val="2"/>
        </w:numPr>
        <w:spacing w:after="40" w:before="40"/>
      </w:pPr>
      <w:r>
        <w:rPr>
          <w:rFonts w:ascii="Arial" w:cs="Arial" w:eastAsia="Arial" w:hAnsi="Arial"/>
          <w:color w:val="334155"/>
          <w:sz w:val="22"/>
          <w:szCs w:val="22"/>
        </w:rPr>
        <w:t xml:space="preserve">Verification that paper forms are stocked and staff know their location</w:t>
      </w:r>
    </w:p>
    <w:p>
      <w:pPr>
        <w:pStyle w:val="ListParagraph"/>
        <w:numPr>
          <w:ilvl w:val="0"/>
          <w:numId w:val="2"/>
        </w:numPr>
        <w:spacing w:after="40" w:before="40"/>
      </w:pPr>
      <w:r>
        <w:rPr>
          <w:rFonts w:ascii="Arial" w:cs="Arial" w:eastAsia="Arial" w:hAnsi="Arial"/>
          <w:color w:val="334155"/>
          <w:sz w:val="22"/>
          <w:szCs w:val="22"/>
        </w:rPr>
        <w:t xml:space="preserve">Timed data entry exercise to ensure post-restoration reconciliation is feasible</w:t>
      </w:r>
    </w:p>
    <w:p>
      <w:pPr>
        <w:pStyle w:val="ListParagraph"/>
        <w:numPr>
          <w:ilvl w:val="0"/>
          <w:numId w:val="2"/>
        </w:numPr>
        <w:spacing w:after="40" w:before="40"/>
      </w:pPr>
      <w:r>
        <w:rPr>
          <w:rFonts w:ascii="Arial" w:cs="Arial" w:eastAsia="Arial" w:hAnsi="Arial"/>
          <w:color w:val="334155"/>
          <w:sz w:val="22"/>
          <w:szCs w:val="22"/>
        </w:rPr>
        <w:t xml:space="preserve">Review of backup restoration process with Railway support documentation</w:t>
      </w:r>
    </w:p>
    <w:p>
      <w:pPr>
        <w:spacing w:after="60" w:before="60"/>
      </w:pPr>
      <w:r>
        <w:rPr>
          <w:rFonts w:ascii="Arial" w:cs="Arial" w:eastAsia="Arial" w:hAnsi="Arial"/>
          <w:color w:val="334155"/>
          <w:sz w:val="22"/>
          <w:szCs w:val="22"/>
        </w:rPr>
        <w:t xml:space="preserve">Test results are documented and retained for six (6) years. Gaps identified during testing must result in procedural updates within 30 days.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9.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Railway Support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help.railway.app / community.railway.app</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Railway Status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status.railway.app — subscribe to status notifications</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Telnyx Support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support.telnyx.com</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LabCorp Support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1-800-845-6167 (provider support)</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 (Downtime Coord.)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[Name / Phone — fill in before signing]</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Backup Downtime Coord.</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[Name / Phone — fill in before signing]</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 /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 — March 20,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4748B"/>
        <w:sz w:val="16"/>
        <w:szCs w:val="16"/>
      </w:rPr>
      <w:t xml:space="preserve">Internal Use Only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7"/>
        <w:szCs w:val="17"/>
      </w:rPr>
      <w:t xml:space="preserve">Valiant Direct Primary Care  |  Downtime &amp; Business Continuity Procedure</w:t>
    </w:r>
    <w:r>
      <w:rPr>
        <w:rFonts w:ascii="Arial" w:cs="Arial" w:eastAsia="Arial" w:hAnsi="Arial"/>
        <w:b/>
        <w:bCs/>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2026-03-20T15:08:46.251Z</dcterms:created>
  <dcterms:modified xsi:type="dcterms:W3CDTF">2026-03-20T15:08:46.251Z</dcterms:modified>
</cp:coreProperties>
</file>

<file path=docProps/custom.xml><?xml version="1.0" encoding="utf-8"?>
<Properties xmlns="http://schemas.openxmlformats.org/officeDocument/2006/custom-properties" xmlns:vt="http://schemas.openxmlformats.org/officeDocument/2006/docPropsVTypes"/>
</file>