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b/>
          <w:bCs/>
          <w:color w:val="1E3A5F"/>
          <w:sz w:val="48"/>
          <w:szCs w:val="48"/>
        </w:rPr>
        <w:t xml:space="preserve">VALIANT DIRECT PRIMARY CARE</w:t>
      </w:r>
    </w:p>
    <w:p>
      <w:pPr>
        <w:spacing w:after="80" w:before="0"/>
        <w:jc w:val="center"/>
      </w:pPr>
      <w:r>
        <w:rPr>
          <w:rFonts w:ascii="Arial" w:cs="Arial" w:eastAsia="Arial" w:hAnsi="Arial"/>
          <w:color w:val="475569"/>
          <w:sz w:val="24"/>
          <w:szCs w:val="24"/>
        </w:rPr>
        <w:t xml:space="preserve">Direct Primary Care Practice · Virginia</w:t>
      </w:r>
    </w:p>
    <w:p>
      <w:pPr>
        <w:pBdr>
          <w:bottom w:val="single" w:color="1E3A5F" w:sz="12"/>
        </w:pBdr>
        <w:spacing w:after="80" w:before="80"/>
      </w:pPr>
      <w:r>
        <w:t xml:space="preserve"/>
      </w:r>
    </w:p>
    <w:p>
      <w:pPr>
        <w:spacing w:after="120" w:before="240"/>
        <w:jc w:val="center"/>
      </w:pPr>
      <w:r>
        <w:rPr>
          <w:rFonts w:ascii="Arial" w:cs="Arial" w:eastAsia="Arial" w:hAnsi="Arial"/>
          <w:b/>
          <w:bCs/>
          <w:color w:val="1E3A5F"/>
          <w:sz w:val="52"/>
          <w:szCs w:val="52"/>
        </w:rPr>
        <w:t xml:space="preserve">HIPAA SECURITY RULE</w:t>
      </w:r>
    </w:p>
    <w:p>
      <w:pPr>
        <w:spacing w:after="240" w:before="0"/>
        <w:jc w:val="center"/>
      </w:pPr>
      <w:r>
        <w:rPr>
          <w:rFonts w:ascii="Arial" w:cs="Arial" w:eastAsia="Arial" w:hAnsi="Arial"/>
          <w:b/>
          <w:bCs/>
          <w:color w:val="2563EB"/>
          <w:sz w:val="52"/>
          <w:szCs w:val="52"/>
        </w:rPr>
        <w:t xml:space="preserve">RISK ANALYSIS</w:t>
      </w:r>
    </w:p>
    <w:p>
      <w:pPr>
        <w:pBdr>
          <w:bottom w:val="single" w:color="2563EB" w:sz="12"/>
        </w:pBdr>
        <w:spacing w:after="80" w:before="80"/>
      </w:pPr>
      <w:r>
        <w:t xml:space="preserve"/>
      </w:r>
    </w:p>
    <w:p>
      <w:pPr>
        <w:spacing w:after="0" w:before="0"/>
      </w:pPr>
      <w:r>
        <w:t xml:space="preserve"/>
      </w:r>
    </w:p>
    <w:p>
      <w:pPr>
        <w:spacing w:after="0" w:before="0"/>
      </w:pPr>
      <w:r>
        <w:t xml:space="preserve"/>
      </w:r>
    </w:p>
    <w:p>
      <w:pPr>
        <w:spacing w:after="60" w:before="120"/>
        <w:jc w:val="center"/>
      </w:pPr>
      <w:r>
        <w:rPr>
          <w:rFonts w:ascii="Arial" w:cs="Arial" w:eastAsia="Arial" w:hAnsi="Arial"/>
          <w:color w:val="64748B"/>
          <w:sz w:val="20"/>
          <w:szCs w:val="20"/>
        </w:rPr>
        <w:t xml:space="preserve">Prepared pursuant to 45 C.F.R. § 164.308(a)(1)(ii)(A)</w:t>
      </w:r>
    </w:p>
    <w:p>
      <w:pPr>
        <w:spacing w:after="60" w:before="0"/>
        <w:jc w:val="center"/>
      </w:pPr>
      <w:r>
        <w:rPr>
          <w:rFonts w:ascii="Arial" w:cs="Arial" w:eastAsia="Arial" w:hAnsi="Arial"/>
          <w:color w:val="64748B"/>
          <w:sz w:val="20"/>
          <w:szCs w:val="20"/>
        </w:rPr>
        <w:t xml:space="preserve">NIST SP 800-30 Rev. 1 Methodology</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rPr>
          <w:tblHeader w:val="false"/>
        </w:trPr>
        <w:tc>
          <w:tcPr>
            <w:tcW w:type="dxa" w:w="2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Date of Assessment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March 19, 2026</w:t>
            </w:r>
          </w:p>
        </w:tc>
      </w:tr>
      <w:tr>
        <w:trPr>
          <w:tblHeader w:val="false"/>
        </w:trPr>
        <w:tc>
          <w:tcPr>
            <w:tcW w:type="dxa" w:w="2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Version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1.0</w:t>
            </w:r>
          </w:p>
        </w:tc>
      </w:tr>
      <w:tr>
        <w:trPr>
          <w:tblHeader w:val="false"/>
        </w:trPr>
        <w:tc>
          <w:tcPr>
            <w:tcW w:type="dxa" w:w="2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Classification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DC2626"/>
                <w:sz w:val="20"/>
                <w:szCs w:val="20"/>
              </w:rPr>
              <w:t xml:space="preserve">CONFIDENTIAL — Do Not Distribute</w:t>
            </w:r>
          </w:p>
        </w:tc>
      </w:tr>
      <w:tr>
        <w:trPr>
          <w:tblHeader w:val="false"/>
        </w:trPr>
        <w:tc>
          <w:tcPr>
            <w:tcW w:type="dxa" w:w="2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Reviewed By</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Practice Administrator / Privacy Officer</w:t>
            </w:r>
          </w:p>
        </w:tc>
      </w:tr>
      <w:tr>
        <w:trPr>
          <w:tblHeader w:val="false"/>
        </w:trPr>
        <w:tc>
          <w:tcPr>
            <w:tcW w:type="dxa" w:w="2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Next Review</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March 2027 (annual or upon material change)</w:t>
            </w:r>
          </w:p>
        </w:tc>
      </w:tr>
    </w:tbl>
    <w:p>
      <w:r>
        <w:br w:type="page"/>
      </w:r>
    </w:p>
    <w:p>
      <w:pPr>
        <w:pStyle w:val="Heading1"/>
        <w:spacing w:after="120" w:before="240"/>
      </w:pPr>
      <w:r>
        <w:rPr>
          <w:b/>
          <w:bCs/>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b/>
          <w:bCs/>
        </w:rPr>
        <w:t xml:space="preserve">1. Executive Summary</w:t>
      </w:r>
    </w:p>
    <w:p>
      <w:pPr>
        <w:spacing w:after="80" w:before="60"/>
        <w:jc w:val="left"/>
      </w:pPr>
      <w:r>
        <w:rPr>
          <w:rFonts w:ascii="Arial" w:cs="Arial" w:eastAsia="Arial" w:hAnsi="Arial"/>
          <w:b w:val="false"/>
          <w:bCs w:val="false"/>
          <w:i w:val="false"/>
          <w:iCs w:val="false"/>
          <w:sz w:val="22"/>
          <w:szCs w:val="22"/>
        </w:rPr>
        <w:t xml:space="preserve">This document constitutes the HIPAA Security Rule Risk Analysis for Valiant Direct Primary Care, a Direct Primary Care (DPC) practice located in Virginia. It has been prepared in accordance with the requirements of 45 C.F.R. § 164.308(a)(1)(ii)(A) and follows the risk management methodology described in NIST Special Publication 800-30 Revision 1.</w:t>
      </w:r>
    </w:p>
    <w:p>
      <w:pPr>
        <w:spacing w:after="80" w:before="60"/>
        <w:jc w:val="left"/>
      </w:pPr>
      <w:r>
        <w:rPr>
          <w:rFonts w:ascii="Arial" w:cs="Arial" w:eastAsia="Arial" w:hAnsi="Arial"/>
          <w:b w:val="false"/>
          <w:bCs w:val="false"/>
          <w:i w:val="false"/>
          <w:iCs w:val="false"/>
          <w:sz w:val="22"/>
          <w:szCs w:val="22"/>
        </w:rPr>
        <w:t xml:space="preserve">The analysis identifies and evaluates potential threats and vulnerabilities to electronic Protected Health Information (ePHI) maintained within the practice's custom Electronic Medical Records (EMR) system — a web-based platform hosted on Railway cloud infrastructure. The system manages patient demographics, clinical notes, laboratory orders and results, imaging orders, prescriptions, membership billing, and patient portal access.</w:t>
      </w:r>
    </w:p>
    <w:p>
      <w:pPr>
        <w:spacing w:after="80" w:before="60"/>
        <w:jc w:val="left"/>
      </w:pPr>
      <w:r>
        <w:rPr>
          <w:rFonts w:ascii="Arial" w:cs="Arial" w:eastAsia="Arial" w:hAnsi="Arial"/>
          <w:b w:val="false"/>
          <w:bCs w:val="false"/>
          <w:i w:val="false"/>
          <w:iCs w:val="false"/>
          <w:sz w:val="22"/>
          <w:szCs w:val="22"/>
        </w:rPr>
        <w:t xml:space="preserve">Key findings are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Risk Category</w:t>
            </w:r>
          </w:p>
        </w:tc>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Risks Identified</w:t>
            </w:r>
          </w:p>
        </w:tc>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Highest Severity</w:t>
            </w:r>
          </w:p>
        </w:tc>
      </w:tr>
      <w:tr>
        <w:trPr>
          <w:tblHeader w:val="false"/>
        </w:trP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Administrative Safeguards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6</w:t>
            </w:r>
          </w:p>
        </w:tc>
        <w:tc>
          <w:tcPr>
            <w:tcW w:type="dxa" w:w="234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before="0"/>
              <w:jc w:val="center"/>
            </w:pPr>
            <w:r>
              <w:rPr>
                <w:rFonts w:ascii="Arial" w:cs="Arial" w:eastAsia="Arial" w:hAnsi="Arial"/>
                <w:b/>
                <w:bCs/>
                <w:color w:val="991B1B"/>
                <w:sz w:val="20"/>
                <w:szCs w:val="20"/>
              </w:rPr>
              <w:t xml:space="preserve">HIGH</w:t>
            </w:r>
          </w:p>
        </w:tc>
      </w:tr>
      <w:tr>
        <w:trPr>
          <w:tblHeader w:val="false"/>
        </w:trP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Technical Safeguards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7</w:t>
            </w:r>
          </w:p>
        </w:tc>
        <w:tc>
          <w:tcPr>
            <w:tcW w:type="dxa" w:w="234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before="0"/>
              <w:jc w:val="center"/>
            </w:pPr>
            <w:r>
              <w:rPr>
                <w:rFonts w:ascii="Arial" w:cs="Arial" w:eastAsia="Arial" w:hAnsi="Arial"/>
                <w:b/>
                <w:bCs/>
                <w:color w:val="991B1B"/>
                <w:sz w:val="20"/>
                <w:szCs w:val="20"/>
              </w:rPr>
              <w:t xml:space="preserve">HIGH</w:t>
            </w:r>
          </w:p>
        </w:tc>
      </w:tr>
      <w:tr>
        <w:trPr>
          <w:tblHeader w:val="false"/>
        </w:trP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Physical Safeguards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3</w:t>
            </w:r>
          </w:p>
        </w:tc>
        <w:tc>
          <w:tcPr>
            <w:tcW w:type="dxa" w:w="234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spacing w:after="0" w:before="0"/>
              <w:jc w:val="center"/>
            </w:pPr>
            <w:r>
              <w:rPr>
                <w:rFonts w:ascii="Arial" w:cs="Arial" w:eastAsia="Arial" w:hAnsi="Arial"/>
                <w:b/>
                <w:bCs/>
                <w:color w:val="92400E"/>
                <w:sz w:val="20"/>
                <w:szCs w:val="20"/>
              </w:rPr>
              <w:t xml:space="preserve">MEDIUM</w:t>
            </w:r>
          </w:p>
        </w:tc>
      </w:tr>
      <w:tr>
        <w:trPr>
          <w:tblHeader w:val="false"/>
        </w:trP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Third-Party / Vendor Risk</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000000"/>
                <w:sz w:val="20"/>
                <w:szCs w:val="20"/>
              </w:rPr>
              <w:t xml:space="preserve">4</w:t>
            </w:r>
          </w:p>
        </w:tc>
        <w:tc>
          <w:tcPr>
            <w:tcW w:type="dxa" w:w="234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before="0"/>
              <w:jc w:val="center"/>
            </w:pPr>
            <w:r>
              <w:rPr>
                <w:rFonts w:ascii="Arial" w:cs="Arial" w:eastAsia="Arial" w:hAnsi="Arial"/>
                <w:b/>
                <w:bCs/>
                <w:color w:val="991B1B"/>
                <w:sz w:val="20"/>
                <w:szCs w:val="20"/>
              </w:rPr>
              <w:t xml:space="preserve">HIGH</w:t>
            </w:r>
          </w:p>
        </w:tc>
      </w:tr>
      <w:tr>
        <w:trPr>
          <w:tblHeader w:val="false"/>
        </w:trPr>
        <w:tc>
          <w:tcPr>
            <w:tcW w:type="dxa" w:w="46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TOTAL</w:t>
            </w:r>
          </w:p>
        </w:tc>
        <w:tc>
          <w:tcPr>
            <w:tcW w:type="dxa" w:w="234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20"/>
                <w:szCs w:val="20"/>
              </w:rPr>
              <w:t xml:space="preserve">20</w:t>
            </w:r>
          </w:p>
        </w:tc>
        <w:tc>
          <w:tcPr>
            <w:tcW w:type="dxa" w:w="234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r>
    </w:tbl>
    <w:p>
      <w:pPr>
        <w:spacing w:after="0" w:before="0"/>
      </w:pPr>
      <w:r>
        <w:t xml:space="preserve"/>
      </w:r>
    </w:p>
    <w:p>
      <w:pPr>
        <w:spacing w:after="80" w:before="60"/>
        <w:jc w:val="left"/>
      </w:pPr>
      <w:r>
        <w:rPr>
          <w:rFonts w:ascii="Arial" w:cs="Arial" w:eastAsia="Arial" w:hAnsi="Arial"/>
          <w:b w:val="false"/>
          <w:bCs w:val="false"/>
          <w:i w:val="false"/>
          <w:iCs w:val="false"/>
          <w:sz w:val="22"/>
          <w:szCs w:val="22"/>
        </w:rPr>
        <w:t xml:space="preserve">The most critical finding is the absence of signed Business Associate Agreements (BAAs) with cloud infrastructure and telecommunications vendors, which represents an immediate compliance gap under 45 C.F.R. § 164.308(b)(1). This must be remediated before any other corrective actions. Additional high-priority findings include the lack of multi-factor authentication, automatic session inactivity timeout enforcement, formal incident response procedures, and documented workforce HIPAA training records.</w:t>
      </w:r>
    </w:p>
    <w:p>
      <w:r>
        <w:br w:type="page"/>
      </w:r>
    </w:p>
    <w:p>
      <w:pPr>
        <w:pStyle w:val="Heading1"/>
        <w:spacing w:after="120" w:before="240"/>
      </w:pPr>
      <w:r>
        <w:rPr>
          <w:b/>
          <w:bCs/>
        </w:rPr>
        <w:t xml:space="preserve">2. Introduction and Purpose</w:t>
      </w:r>
    </w:p>
    <w:p>
      <w:pPr>
        <w:spacing w:after="80" w:before="60"/>
        <w:jc w:val="left"/>
      </w:pPr>
      <w:r>
        <w:rPr>
          <w:rFonts w:ascii="Arial" w:cs="Arial" w:eastAsia="Arial" w:hAnsi="Arial"/>
          <w:b w:val="false"/>
          <w:bCs w:val="false"/>
          <w:i w:val="false"/>
          <w:iCs w:val="false"/>
          <w:sz w:val="22"/>
          <w:szCs w:val="22"/>
        </w:rPr>
        <w:t xml:space="preserve">The HIPAA Security Rule (45 C.F.R. Part 164, Subparts A and C) requires all Covered Entities to conduct an accurate and thorough assessment of the potential risks and vulnerabilities to the confidentiality, integrity, and availability of ePHI. This Risk Analysis satisfies that requirement and serves as the foundation for the practice's ongoing Risk Management Plan.</w:t>
      </w:r>
    </w:p>
    <w:p>
      <w:pPr>
        <w:pStyle w:val="Heading2"/>
        <w:spacing w:after="120" w:before="240"/>
      </w:pPr>
      <w:r>
        <w:rPr>
          <w:b/>
          <w:bCs/>
        </w:rPr>
        <w:t xml:space="preserve">2.1 Legal Authority</w:t>
      </w:r>
    </w:p>
    <w:p>
      <w:pPr>
        <w:pStyle w:val="ListParagraph"/>
        <w:numPr>
          <w:ilvl w:val="0"/>
          <w:numId w:val="2"/>
        </w:numPr>
        <w:spacing w:after="40" w:before="40"/>
      </w:pPr>
      <w:r>
        <w:rPr>
          <w:rFonts w:ascii="Arial" w:cs="Arial" w:eastAsia="Arial" w:hAnsi="Arial"/>
          <w:sz w:val="22"/>
          <w:szCs w:val="22"/>
        </w:rPr>
        <w:t xml:space="preserve">45 C.F.R. § 164.308(a)(1)(ii)(A) — Risk Analysis (Required)</w:t>
      </w:r>
    </w:p>
    <w:p>
      <w:pPr>
        <w:pStyle w:val="ListParagraph"/>
        <w:numPr>
          <w:ilvl w:val="0"/>
          <w:numId w:val="2"/>
        </w:numPr>
        <w:spacing w:after="40" w:before="40"/>
      </w:pPr>
      <w:r>
        <w:rPr>
          <w:rFonts w:ascii="Arial" w:cs="Arial" w:eastAsia="Arial" w:hAnsi="Arial"/>
          <w:sz w:val="22"/>
          <w:szCs w:val="22"/>
        </w:rPr>
        <w:t xml:space="preserve">45 C.F.R. § 164.308(a)(1)(ii)(B) — Risk Management (Required)</w:t>
      </w:r>
    </w:p>
    <w:p>
      <w:pPr>
        <w:pStyle w:val="ListParagraph"/>
        <w:numPr>
          <w:ilvl w:val="0"/>
          <w:numId w:val="2"/>
        </w:numPr>
        <w:spacing w:after="40" w:before="40"/>
      </w:pPr>
      <w:r>
        <w:rPr>
          <w:rFonts w:ascii="Arial" w:cs="Arial" w:eastAsia="Arial" w:hAnsi="Arial"/>
          <w:sz w:val="22"/>
          <w:szCs w:val="22"/>
        </w:rPr>
        <w:t xml:space="preserve">45 C.F.R. § 164.308(a)(8) — Evaluation (Required)</w:t>
      </w:r>
    </w:p>
    <w:p>
      <w:pPr>
        <w:pStyle w:val="ListParagraph"/>
        <w:numPr>
          <w:ilvl w:val="0"/>
          <w:numId w:val="2"/>
        </w:numPr>
        <w:spacing w:after="40" w:before="40"/>
      </w:pPr>
      <w:r>
        <w:rPr>
          <w:rFonts w:ascii="Arial" w:cs="Arial" w:eastAsia="Arial" w:hAnsi="Arial"/>
          <w:sz w:val="22"/>
          <w:szCs w:val="22"/>
        </w:rPr>
        <w:t xml:space="preserve">NIST SP 800-30 Rev. 1, Guide for Conducting Risk Assessments</w:t>
      </w:r>
    </w:p>
    <w:p>
      <w:pPr>
        <w:pStyle w:val="ListParagraph"/>
        <w:numPr>
          <w:ilvl w:val="0"/>
          <w:numId w:val="2"/>
        </w:numPr>
        <w:spacing w:after="40" w:before="40"/>
      </w:pPr>
      <w:r>
        <w:rPr>
          <w:rFonts w:ascii="Arial" w:cs="Arial" w:eastAsia="Arial" w:hAnsi="Arial"/>
          <w:sz w:val="22"/>
          <w:szCs w:val="22"/>
        </w:rPr>
        <w:t xml:space="preserve">HHS Office for Civil Rights (OCR) Guidance on Risk Analysis Requirements</w:t>
      </w:r>
    </w:p>
    <w:p>
      <w:pPr>
        <w:pStyle w:val="Heading2"/>
        <w:spacing w:after="120" w:before="240"/>
      </w:pPr>
      <w:r>
        <w:rPr>
          <w:b/>
          <w:bCs/>
        </w:rPr>
        <w:t xml:space="preserve">2.2 Objectives</w:t>
      </w:r>
    </w:p>
    <w:p>
      <w:pPr>
        <w:spacing w:after="80" w:before="60"/>
        <w:jc w:val="left"/>
      </w:pPr>
      <w:r>
        <w:rPr>
          <w:rFonts w:ascii="Arial" w:cs="Arial" w:eastAsia="Arial" w:hAnsi="Arial"/>
          <w:b w:val="false"/>
          <w:bCs w:val="false"/>
          <w:i w:val="false"/>
          <w:iCs w:val="false"/>
          <w:sz w:val="22"/>
          <w:szCs w:val="22"/>
        </w:rPr>
        <w:t xml:space="preserve">This Risk Analysis is designed to:</w:t>
      </w:r>
    </w:p>
    <w:p>
      <w:pPr>
        <w:pStyle w:val="ListParagraph"/>
        <w:numPr>
          <w:ilvl w:val="0"/>
          <w:numId w:val="2"/>
        </w:numPr>
        <w:spacing w:after="40" w:before="40"/>
      </w:pPr>
      <w:r>
        <w:rPr>
          <w:rFonts w:ascii="Arial" w:cs="Arial" w:eastAsia="Arial" w:hAnsi="Arial"/>
          <w:sz w:val="22"/>
          <w:szCs w:val="22"/>
        </w:rPr>
        <w:t xml:space="preserve">Identify all locations where ePHI is created, received, maintained, and transmitted</w:t>
      </w:r>
    </w:p>
    <w:p>
      <w:pPr>
        <w:pStyle w:val="ListParagraph"/>
        <w:numPr>
          <w:ilvl w:val="0"/>
          <w:numId w:val="2"/>
        </w:numPr>
        <w:spacing w:after="40" w:before="40"/>
      </w:pPr>
      <w:r>
        <w:rPr>
          <w:rFonts w:ascii="Arial" w:cs="Arial" w:eastAsia="Arial" w:hAnsi="Arial"/>
          <w:sz w:val="22"/>
          <w:szCs w:val="22"/>
        </w:rPr>
        <w:t xml:space="preserve">Identify reasonably anticipated threats to the confidentiality, integrity, and availability of ePHI</w:t>
      </w:r>
    </w:p>
    <w:p>
      <w:pPr>
        <w:pStyle w:val="ListParagraph"/>
        <w:numPr>
          <w:ilvl w:val="0"/>
          <w:numId w:val="2"/>
        </w:numPr>
        <w:spacing w:after="40" w:before="40"/>
      </w:pPr>
      <w:r>
        <w:rPr>
          <w:rFonts w:ascii="Arial" w:cs="Arial" w:eastAsia="Arial" w:hAnsi="Arial"/>
          <w:sz w:val="22"/>
          <w:szCs w:val="22"/>
        </w:rPr>
        <w:t xml:space="preserve">Identify vulnerabilities that, if triggered by a threat, would result in unauthorized access or disclosure</w:t>
      </w:r>
    </w:p>
    <w:p>
      <w:pPr>
        <w:pStyle w:val="ListParagraph"/>
        <w:numPr>
          <w:ilvl w:val="0"/>
          <w:numId w:val="2"/>
        </w:numPr>
        <w:spacing w:after="40" w:before="40"/>
      </w:pPr>
      <w:r>
        <w:rPr>
          <w:rFonts w:ascii="Arial" w:cs="Arial" w:eastAsia="Arial" w:hAnsi="Arial"/>
          <w:sz w:val="22"/>
          <w:szCs w:val="22"/>
        </w:rPr>
        <w:t xml:space="preserve">Assess the likelihood and potential impact of identified threat/vulnerability combinations</w:t>
      </w:r>
    </w:p>
    <w:p>
      <w:pPr>
        <w:pStyle w:val="ListParagraph"/>
        <w:numPr>
          <w:ilvl w:val="0"/>
          <w:numId w:val="2"/>
        </w:numPr>
        <w:spacing w:after="40" w:before="40"/>
      </w:pPr>
      <w:r>
        <w:rPr>
          <w:rFonts w:ascii="Arial" w:cs="Arial" w:eastAsia="Arial" w:hAnsi="Arial"/>
          <w:sz w:val="22"/>
          <w:szCs w:val="22"/>
        </w:rPr>
        <w:t xml:space="preserve">Determine the level of risk and prioritise corrective actions</w:t>
      </w:r>
    </w:p>
    <w:p>
      <w:pPr>
        <w:pStyle w:val="ListParagraph"/>
        <w:numPr>
          <w:ilvl w:val="0"/>
          <w:numId w:val="2"/>
        </w:numPr>
        <w:spacing w:after="40" w:before="40"/>
      </w:pPr>
      <w:r>
        <w:rPr>
          <w:rFonts w:ascii="Arial" w:cs="Arial" w:eastAsia="Arial" w:hAnsi="Arial"/>
          <w:sz w:val="22"/>
          <w:szCs w:val="22"/>
        </w:rPr>
        <w:t xml:space="preserve">Document findings to demonstrate compliance with the HIPAA Security Rule</w:t>
      </w:r>
    </w:p>
    <w:p>
      <w:r>
        <w:br w:type="page"/>
      </w:r>
    </w:p>
    <w:p>
      <w:pPr>
        <w:pStyle w:val="Heading1"/>
        <w:spacing w:after="120" w:before="240"/>
      </w:pPr>
      <w:r>
        <w:rPr>
          <w:b/>
          <w:bCs/>
        </w:rPr>
        <w:t xml:space="preserve">3. Scope of the Assessment</w:t>
      </w:r>
    </w:p>
    <w:p>
      <w:pPr>
        <w:spacing w:after="80" w:before="60"/>
        <w:jc w:val="left"/>
      </w:pPr>
      <w:r>
        <w:rPr>
          <w:rFonts w:ascii="Arial" w:cs="Arial" w:eastAsia="Arial" w:hAnsi="Arial"/>
          <w:b w:val="false"/>
          <w:bCs w:val="false"/>
          <w:i w:val="false"/>
          <w:iCs w:val="false"/>
          <w:sz w:val="22"/>
          <w:szCs w:val="22"/>
        </w:rPr>
        <w:t xml:space="preserve">This Risk Analysis encompasses all information systems, processes, and workforce activities that involve the creation, receipt, maintenance, or transmission of ePHI at Valiant Direct Primary Care.</w:t>
      </w:r>
    </w:p>
    <w:p>
      <w:pPr>
        <w:pStyle w:val="Heading2"/>
        <w:spacing w:after="120" w:before="240"/>
      </w:pPr>
      <w:r>
        <w:rPr>
          <w:b/>
          <w:bCs/>
        </w:rPr>
        <w:t xml:space="preserve">3.1 Systems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System</w:t>
            </w:r>
          </w:p>
        </w:tc>
        <w:tc>
          <w:tcPr>
            <w:tcW w:type="dxa" w:w="36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Description</w:t>
            </w:r>
          </w:p>
        </w:tc>
        <w:tc>
          <w:tcPr>
            <w:tcW w:type="dxa" w:w="33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ePHI Handled</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MedFlow EMR (Backend)</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FastAPI application hosted on Railway cloud platform</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All patient ePHI — demographics, clinical, financial</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PostgreSQL Database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Railway-managed PostgreSQL 14 database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All persistent ePHI storage</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Staff EMR Frontend</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Browser-based clinical dashboard (index.html)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Clinical notes, labs, imaging, prescriptions, billing</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Patient Portal</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Patient-facing web portal (portal.html) at /portal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Visit summaries, lab results, imaging, billing</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Enrollment Form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Public enrollment application (enroll.html)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Demographics, medical history, payment data</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Telnyx Fax Service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Cloud fax API used for imaging order transmission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Patient name, DOB, address, imaging order details</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Square Payments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Card-on-file billing for membership fees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Name, partial card data, billing amounts</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LabCorp Beacon API</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Electronic lab order transmission and result retrieval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Patient demographics, test orders, lab results</w:t>
            </w:r>
          </w:p>
        </w:tc>
      </w:tr>
    </w:tbl>
    <w:p>
      <w:pPr>
        <w:pStyle w:val="Heading2"/>
        <w:spacing w:after="120" w:before="240"/>
      </w:pPr>
      <w:r>
        <w:rPr>
          <w:b/>
          <w:bCs/>
        </w:rPr>
        <w:t xml:space="preserve">3.2 Workforce in Scope</w:t>
      </w:r>
    </w:p>
    <w:p>
      <w:pPr>
        <w:pStyle w:val="ListParagraph"/>
        <w:numPr>
          <w:ilvl w:val="0"/>
          <w:numId w:val="2"/>
        </w:numPr>
        <w:spacing w:after="40" w:before="40"/>
      </w:pPr>
      <w:r>
        <w:rPr>
          <w:rFonts w:ascii="Arial" w:cs="Arial" w:eastAsia="Arial" w:hAnsi="Arial"/>
          <w:sz w:val="22"/>
          <w:szCs w:val="22"/>
        </w:rPr>
        <w:t xml:space="preserve">Physicians / Providers — full EMR access</w:t>
      </w:r>
    </w:p>
    <w:p>
      <w:pPr>
        <w:pStyle w:val="ListParagraph"/>
        <w:numPr>
          <w:ilvl w:val="0"/>
          <w:numId w:val="2"/>
        </w:numPr>
        <w:spacing w:after="40" w:before="40"/>
      </w:pPr>
      <w:r>
        <w:rPr>
          <w:rFonts w:ascii="Arial" w:cs="Arial" w:eastAsia="Arial" w:hAnsi="Arial"/>
          <w:sz w:val="22"/>
          <w:szCs w:val="22"/>
        </w:rPr>
        <w:t xml:space="preserve">Administrative Staff — demographic and billing access</w:t>
      </w:r>
    </w:p>
    <w:p>
      <w:pPr>
        <w:pStyle w:val="ListParagraph"/>
        <w:numPr>
          <w:ilvl w:val="0"/>
          <w:numId w:val="2"/>
        </w:numPr>
        <w:spacing w:after="40" w:before="40"/>
      </w:pPr>
      <w:r>
        <w:rPr>
          <w:rFonts w:ascii="Arial" w:cs="Arial" w:eastAsia="Arial" w:hAnsi="Arial"/>
          <w:sz w:val="22"/>
          <w:szCs w:val="22"/>
        </w:rPr>
        <w:t xml:space="preserve">Practice Administrator / Privacy Officer — full system and admin access</w:t>
      </w:r>
    </w:p>
    <w:p>
      <w:pPr>
        <w:pStyle w:val="ListParagraph"/>
        <w:numPr>
          <w:ilvl w:val="0"/>
          <w:numId w:val="2"/>
        </w:numPr>
        <w:spacing w:after="40" w:before="40"/>
      </w:pPr>
      <w:r>
        <w:rPr>
          <w:rFonts w:ascii="Arial" w:cs="Arial" w:eastAsia="Arial" w:hAnsi="Arial"/>
          <w:sz w:val="22"/>
          <w:szCs w:val="22"/>
        </w:rPr>
        <w:t xml:space="preserve">Patients — patient portal access (read-only ePHI subset)</w:t>
      </w:r>
    </w:p>
    <w:p>
      <w:r>
        <w:br w:type="page"/>
      </w:r>
    </w:p>
    <w:p>
      <w:pPr>
        <w:pStyle w:val="Heading1"/>
        <w:spacing w:after="120" w:before="240"/>
      </w:pPr>
      <w:r>
        <w:rPr>
          <w:b/>
          <w:bCs/>
        </w:rPr>
        <w:t xml:space="preserve">4. ePHI Data Inventory</w:t>
      </w:r>
    </w:p>
    <w:p>
      <w:pPr>
        <w:spacing w:after="80" w:before="60"/>
        <w:jc w:val="left"/>
      </w:pPr>
      <w:r>
        <w:rPr>
          <w:rFonts w:ascii="Arial" w:cs="Arial" w:eastAsia="Arial" w:hAnsi="Arial"/>
          <w:b w:val="false"/>
          <w:bCs w:val="false"/>
          <w:i w:val="false"/>
          <w:iCs w:val="false"/>
          <w:sz w:val="22"/>
          <w:szCs w:val="22"/>
        </w:rPr>
        <w:t xml:space="preserve">The following table enumerates the categories of ePHI maintained by the practice and their storage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rPr>
          <w:tblHeader/>
        </w:trPr>
        <w:tc>
          <w:tcPr>
            <w:tcW w:type="dxa" w:w="2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ePHI Category</w:t>
            </w:r>
          </w:p>
        </w:tc>
        <w:tc>
          <w:tcPr>
            <w:tcW w:type="dxa" w:w="2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Data Elements</w:t>
            </w:r>
          </w:p>
        </w:tc>
        <w:tc>
          <w:tcPr>
            <w:tcW w:type="dxa" w:w="188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Storage Location</w:t>
            </w:r>
          </w:p>
        </w:tc>
        <w:tc>
          <w:tcPr>
            <w:tcW w:type="dxa" w:w="188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Transmission</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Patient Demographics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Name, DOB, address, phone, email, SSN last-4, gender</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PostgreSQL (Railway)</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HTTPS, Fax (Telnyx)</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Clinical Notes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SOAP notes, assessment, plan, HPI, ROS, physical exam, ICD-10 codes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PostgreSQL (Railway)</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HTTPS, PDF download</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Laboratory Orders &amp; Results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Test panels, indications, LabCorp order IDs, result values, reference ranges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PostgreSQL (Railway)</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HTTPS, LabCorp API</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Imaging Orders &amp; Results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Study type, body part, ICD-10, clinical indication, radiologist report</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PostgreSQL (Railway)</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HTTPS, Fax PDF (Telnyx)</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Prescriptions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Drug name, sig, quantity, refills, pharmacy, controlled substance schedule</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PostgreSQL (Railway)</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HTTPS, Fax (Telnyx)</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Membership &amp; Payments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Plan type, billing amounts, payment status, Square customer/card IDs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PostgreSQL (Railway)</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HTTPS, Square API</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Audit Logs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User actions on ePHI with timestamps and IP addresses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PostgreSQL (Railway)</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Internal only</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Patient Consents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HIPAA, telehealth, membership consent signatures and timestamps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PostgreSQL (Railway)</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HTTPS</w:t>
            </w:r>
          </w:p>
        </w:tc>
      </w:tr>
    </w:tbl>
    <w:p>
      <w:r>
        <w:br w:type="page"/>
      </w:r>
    </w:p>
    <w:p>
      <w:pPr>
        <w:pStyle w:val="Heading1"/>
        <w:spacing w:after="120" w:before="240"/>
      </w:pPr>
      <w:r>
        <w:rPr>
          <w:b/>
          <w:bCs/>
        </w:rPr>
        <w:t xml:space="preserve">5. Current Security Controls</w:t>
      </w:r>
    </w:p>
    <w:p>
      <w:pPr>
        <w:spacing w:after="80" w:before="60"/>
        <w:jc w:val="left"/>
      </w:pPr>
      <w:r>
        <w:rPr>
          <w:rFonts w:ascii="Arial" w:cs="Arial" w:eastAsia="Arial" w:hAnsi="Arial"/>
          <w:b w:val="false"/>
          <w:bCs w:val="false"/>
          <w:i w:val="false"/>
          <w:iCs w:val="false"/>
          <w:sz w:val="22"/>
          <w:szCs w:val="22"/>
        </w:rPr>
        <w:t xml:space="preserve">The following controls are currently implemented within the EMR system:</w:t>
      </w:r>
    </w:p>
    <w:p>
      <w:pPr>
        <w:pStyle w:val="Heading2"/>
        <w:spacing w:after="120" w:before="240"/>
      </w:pPr>
      <w:r>
        <w:rPr>
          <w:b/>
          <w:bCs/>
        </w:rPr>
        <w:t xml:space="preserve">5.1 Technical Controls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Control</w:t>
            </w:r>
          </w:p>
        </w:tc>
        <w:tc>
          <w:tcPr>
            <w:tcW w:type="dxa" w:w="45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Implementation</w:t>
            </w:r>
          </w:p>
        </w:tc>
        <w:tc>
          <w:tcPr>
            <w:tcW w:type="dxa" w:w="16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Status</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Encryption in Transit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TLS 1.2/1.3 via Railway (HTTPS enforced on all endpoints)</w:t>
            </w:r>
          </w:p>
        </w:tc>
        <w:tc>
          <w:tcPr>
            <w:tcW w:type="dxa" w:w="16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0" w:before="0"/>
              <w:jc w:val="left"/>
            </w:pPr>
            <w:r>
              <w:rPr>
                <w:rFonts w:ascii="Arial" w:cs="Arial" w:eastAsia="Arial" w:hAnsi="Arial"/>
                <w:b/>
                <w:bCs/>
                <w:color w:val="14532D"/>
                <w:sz w:val="20"/>
                <w:szCs w:val="20"/>
              </w:rPr>
              <w:t xml:space="preserve">Implemented</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Authentication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JWT tokens — staff (8hr) and patient portal (24hr), bcrypt password hashing</w:t>
            </w:r>
          </w:p>
        </w:tc>
        <w:tc>
          <w:tcPr>
            <w:tcW w:type="dxa" w:w="16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0" w:before="0"/>
              <w:jc w:val="left"/>
            </w:pPr>
            <w:r>
              <w:rPr>
                <w:rFonts w:ascii="Arial" w:cs="Arial" w:eastAsia="Arial" w:hAnsi="Arial"/>
                <w:b/>
                <w:bCs/>
                <w:color w:val="14532D"/>
                <w:sz w:val="20"/>
                <w:szCs w:val="20"/>
              </w:rPr>
              <w:t xml:space="preserve">Implemented</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Role-Based Access Control</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Three roles: admin, physician, staff; enforced on all API endpoints</w:t>
            </w:r>
          </w:p>
        </w:tc>
        <w:tc>
          <w:tcPr>
            <w:tcW w:type="dxa" w:w="16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0" w:before="0"/>
              <w:jc w:val="left"/>
            </w:pPr>
            <w:r>
              <w:rPr>
                <w:rFonts w:ascii="Arial" w:cs="Arial" w:eastAsia="Arial" w:hAnsi="Arial"/>
                <w:b/>
                <w:bCs/>
                <w:color w:val="14532D"/>
                <w:sz w:val="20"/>
                <w:szCs w:val="20"/>
              </w:rPr>
              <w:t xml:space="preserve">Implemented</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Audit Logging</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All ePHI access/modification logged with user ID, action, resource, IP, and timestamp</w:t>
            </w:r>
          </w:p>
        </w:tc>
        <w:tc>
          <w:tcPr>
            <w:tcW w:type="dxa" w:w="16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0" w:before="0"/>
              <w:jc w:val="left"/>
            </w:pPr>
            <w:r>
              <w:rPr>
                <w:rFonts w:ascii="Arial" w:cs="Arial" w:eastAsia="Arial" w:hAnsi="Arial"/>
                <w:b/>
                <w:bCs/>
                <w:color w:val="14532D"/>
                <w:sz w:val="20"/>
                <w:szCs w:val="20"/>
              </w:rPr>
              <w:t xml:space="preserve">Implemented</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Patient Portal Isolation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Portal JWT uses separate 'type: portal' claim; staff tokens rejected at portal endpoints</w:t>
            </w:r>
          </w:p>
        </w:tc>
        <w:tc>
          <w:tcPr>
            <w:tcW w:type="dxa" w:w="16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0" w:before="0"/>
              <w:jc w:val="left"/>
            </w:pPr>
            <w:r>
              <w:rPr>
                <w:rFonts w:ascii="Arial" w:cs="Arial" w:eastAsia="Arial" w:hAnsi="Arial"/>
                <w:b/>
                <w:bCs/>
                <w:color w:val="14532D"/>
                <w:sz w:val="20"/>
                <w:szCs w:val="20"/>
              </w:rPr>
              <w:t xml:space="preserve">Implemented</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Provider-Controlled Note Release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patient_visible flag requires explicit provider action before notes appear in portal</w:t>
            </w:r>
          </w:p>
        </w:tc>
        <w:tc>
          <w:tcPr>
            <w:tcW w:type="dxa" w:w="16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0" w:before="0"/>
              <w:jc w:val="left"/>
            </w:pPr>
            <w:r>
              <w:rPr>
                <w:rFonts w:ascii="Arial" w:cs="Arial" w:eastAsia="Arial" w:hAnsi="Arial"/>
                <w:b/>
                <w:bCs/>
                <w:color w:val="14532D"/>
                <w:sz w:val="20"/>
                <w:szCs w:val="20"/>
              </w:rPr>
              <w:t xml:space="preserve">Implemented</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Consent Tracking</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HIPAA, telehealth, and membership consents captured with timestamp, IP, and e-signature</w:t>
            </w:r>
          </w:p>
        </w:tc>
        <w:tc>
          <w:tcPr>
            <w:tcW w:type="dxa" w:w="16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center"/>
          </w:tcPr>
          <w:p>
            <w:pPr>
              <w:spacing w:after="0" w:before="0"/>
              <w:jc w:val="left"/>
            </w:pPr>
            <w:r>
              <w:rPr>
                <w:rFonts w:ascii="Arial" w:cs="Arial" w:eastAsia="Arial" w:hAnsi="Arial"/>
                <w:b/>
                <w:bCs/>
                <w:color w:val="14532D"/>
                <w:sz w:val="20"/>
                <w:szCs w:val="20"/>
              </w:rPr>
              <w:t xml:space="preserve">Implemented</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Multi-Factor Authentication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implemented for staff or patient portal login</w:t>
            </w:r>
          </w:p>
        </w:tc>
        <w:tc>
          <w:tcPr>
            <w:tcW w:type="dxa" w:w="16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before="0"/>
              <w:jc w:val="left"/>
            </w:pPr>
            <w:r>
              <w:rPr>
                <w:rFonts w:ascii="Arial" w:cs="Arial" w:eastAsia="Arial" w:hAnsi="Arial"/>
                <w:b/>
                <w:bCs/>
                <w:color w:val="991B1B"/>
                <w:sz w:val="20"/>
                <w:szCs w:val="20"/>
              </w:rPr>
              <w:t xml:space="preserve">MISSING</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Inactivity Session Timeout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JWT expires at 8hrs for staff / 24hrs for patients; no inactivity-based timeout enforced</w:t>
            </w:r>
          </w:p>
        </w:tc>
        <w:tc>
          <w:tcPr>
            <w:tcW w:type="dxa" w:w="16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before="0"/>
              <w:jc w:val="left"/>
            </w:pPr>
            <w:r>
              <w:rPr>
                <w:rFonts w:ascii="Arial" w:cs="Arial" w:eastAsia="Arial" w:hAnsi="Arial"/>
                <w:b/>
                <w:bCs/>
                <w:color w:val="991B1B"/>
                <w:sz w:val="20"/>
                <w:szCs w:val="20"/>
              </w:rPr>
              <w:t xml:space="preserve">MISSING</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Password Complexity Enforcement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 minimum length, complexity, or history rules enforced at the API level</w:t>
            </w:r>
          </w:p>
        </w:tc>
        <w:tc>
          <w:tcPr>
            <w:tcW w:type="dxa" w:w="16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before="0"/>
              <w:jc w:val="left"/>
            </w:pPr>
            <w:r>
              <w:rPr>
                <w:rFonts w:ascii="Arial" w:cs="Arial" w:eastAsia="Arial" w:hAnsi="Arial"/>
                <w:b/>
                <w:bCs/>
                <w:color w:val="991B1B"/>
                <w:sz w:val="20"/>
                <w:szCs w:val="20"/>
              </w:rPr>
              <w:t xml:space="preserve">MISSING</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Rate Limiting / Brute-Force Protection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 rate limiting on /api/auth/login or /portal/login endpoints</w:t>
            </w:r>
          </w:p>
        </w:tc>
        <w:tc>
          <w:tcPr>
            <w:tcW w:type="dxa" w:w="16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spacing w:after="0" w:before="0"/>
              <w:jc w:val="left"/>
            </w:pPr>
            <w:r>
              <w:rPr>
                <w:rFonts w:ascii="Arial" w:cs="Arial" w:eastAsia="Arial" w:hAnsi="Arial"/>
                <w:b/>
                <w:bCs/>
                <w:color w:val="991B1B"/>
                <w:sz w:val="20"/>
                <w:szCs w:val="20"/>
              </w:rPr>
              <w:t xml:space="preserve">MISSING</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Encryption at Rest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Railway PostgreSQL uses AES-256 at rest; configuration not formally verified/documented</w:t>
            </w:r>
          </w:p>
        </w:tc>
        <w:tc>
          <w:tcPr>
            <w:tcW w:type="dxa" w:w="16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spacing w:after="0" w:before="0"/>
              <w:jc w:val="left"/>
            </w:pPr>
            <w:r>
              <w:rPr>
                <w:rFonts w:ascii="Arial" w:cs="Arial" w:eastAsia="Arial" w:hAnsi="Arial"/>
                <w:b/>
                <w:bCs/>
                <w:color w:val="92400E"/>
                <w:sz w:val="20"/>
                <w:szCs w:val="20"/>
              </w:rPr>
              <w:t xml:space="preserve">Unverified</w:t>
            </w:r>
          </w:p>
        </w:tc>
      </w:tr>
    </w:tbl>
    <w:p>
      <w:pPr>
        <w:spacing w:after="0" w:before="0"/>
      </w:pPr>
      <w:r>
        <w:t xml:space="preserve"/>
      </w:r>
    </w:p>
    <w:p>
      <w:pPr>
        <w:pStyle w:val="Heading2"/>
        <w:spacing w:after="120" w:before="240"/>
      </w:pPr>
      <w:r>
        <w:rPr>
          <w:b/>
          <w:bCs/>
        </w:rPr>
        <w:t xml:space="preserve">5.2 Administrative Controls In Place</w:t>
      </w:r>
    </w:p>
    <w:p>
      <w:pPr>
        <w:pStyle w:val="ListParagraph"/>
        <w:numPr>
          <w:ilvl w:val="0"/>
          <w:numId w:val="2"/>
        </w:numPr>
        <w:spacing w:after="40" w:before="40"/>
      </w:pPr>
      <w:r>
        <w:rPr>
          <w:rFonts w:ascii="Arial" w:cs="Arial" w:eastAsia="Arial" w:hAnsi="Arial"/>
          <w:sz w:val="22"/>
          <w:szCs w:val="22"/>
        </w:rPr>
        <w:t xml:space="preserve">HIPAA-compliant enrollment consent workflow with e-signatures</w:t>
      </w:r>
    </w:p>
    <w:p>
      <w:pPr>
        <w:pStyle w:val="ListParagraph"/>
        <w:numPr>
          <w:ilvl w:val="0"/>
          <w:numId w:val="2"/>
        </w:numPr>
        <w:spacing w:after="40" w:before="40"/>
      </w:pPr>
      <w:r>
        <w:rPr>
          <w:rFonts w:ascii="Arial" w:cs="Arial" w:eastAsia="Arial" w:hAnsi="Arial"/>
          <w:sz w:val="22"/>
          <w:szCs w:val="22"/>
        </w:rPr>
        <w:t xml:space="preserve">Audit log captures all PHI access events</w:t>
      </w:r>
    </w:p>
    <w:p>
      <w:pPr>
        <w:pStyle w:val="ListParagraph"/>
        <w:numPr>
          <w:ilvl w:val="0"/>
          <w:numId w:val="2"/>
        </w:numPr>
        <w:spacing w:after="40" w:before="40"/>
      </w:pPr>
      <w:r>
        <w:rPr>
          <w:rFonts w:ascii="Arial" w:cs="Arial" w:eastAsia="Arial" w:hAnsi="Arial"/>
          <w:sz w:val="22"/>
          <w:szCs w:val="22"/>
        </w:rPr>
        <w:t xml:space="preserve">Separate patient portal credential management (staff-activated)</w:t>
      </w:r>
    </w:p>
    <w:p>
      <w:pPr>
        <w:pStyle w:val="ListParagraph"/>
        <w:numPr>
          <w:ilvl w:val="0"/>
          <w:numId w:val="2"/>
        </w:numPr>
        <w:spacing w:after="40" w:before="40"/>
      </w:pPr>
      <w:r>
        <w:rPr>
          <w:rFonts w:ascii="Arial" w:cs="Arial" w:eastAsia="Arial" w:hAnsi="Arial"/>
          <w:sz w:val="22"/>
          <w:szCs w:val="22"/>
        </w:rPr>
        <w:t xml:space="preserve">Environment variable pattern for credentials — no hardcoded secrets in source code</w:t>
      </w:r>
    </w:p>
    <w:p>
      <w:r>
        <w:br w:type="page"/>
      </w:r>
    </w:p>
    <w:p>
      <w:pPr>
        <w:pStyle w:val="Heading1"/>
        <w:spacing w:after="120" w:before="240"/>
      </w:pPr>
      <w:r>
        <w:rPr>
          <w:b/>
          <w:bCs/>
        </w:rPr>
        <w:t xml:space="preserve">6. Threat Identification</w:t>
      </w:r>
    </w:p>
    <w:p>
      <w:pPr>
        <w:spacing w:after="80" w:before="60"/>
        <w:jc w:val="left"/>
      </w:pPr>
      <w:r>
        <w:rPr>
          <w:rFonts w:ascii="Arial" w:cs="Arial" w:eastAsia="Arial" w:hAnsi="Arial"/>
          <w:b w:val="false"/>
          <w:bCs w:val="false"/>
          <w:i w:val="false"/>
          <w:iCs w:val="false"/>
          <w:sz w:val="22"/>
          <w:szCs w:val="22"/>
        </w:rPr>
        <w:t xml:space="preserve">The following threat categories represent reasonably anticipated threats to ePHI confidentiality, integrity, and availability, consistent with HHS OCR guidance and NIST SP 800-30:</w:t>
      </w:r>
    </w:p>
    <w:p>
      <w:pPr>
        <w:pStyle w:val="Heading2"/>
        <w:spacing w:after="120" w:before="240"/>
      </w:pPr>
      <w:r>
        <w:rPr>
          <w:b/>
          <w:bCs/>
        </w:rPr>
        <w:t xml:space="preserve">6.1 Human Threats</w:t>
      </w:r>
    </w:p>
    <w:p>
      <w:pPr>
        <w:pStyle w:val="ListParagraph"/>
        <w:numPr>
          <w:ilvl w:val="0"/>
          <w:numId w:val="2"/>
        </w:numPr>
        <w:spacing w:after="40" w:before="40"/>
      </w:pPr>
      <w:r>
        <w:rPr>
          <w:rFonts w:ascii="Arial" w:cs="Arial" w:eastAsia="Arial" w:hAnsi="Arial"/>
          <w:b/>
          <w:bCs/>
          <w:sz w:val="22"/>
          <w:szCs w:val="22"/>
        </w:rPr>
        <w:t xml:space="preserve">Malicious Insider:</w:t>
      </w:r>
      <w:r>
        <w:rPr>
          <w:rFonts w:ascii="Arial" w:cs="Arial" w:eastAsia="Arial" w:hAnsi="Arial"/>
          <w:sz w:val="22"/>
          <w:szCs w:val="22"/>
        </w:rPr>
        <w:t xml:space="preserve"> Malicious insiders (workforce members accessing ePHI without need)</w:t>
      </w:r>
    </w:p>
    <w:p>
      <w:pPr>
        <w:pStyle w:val="ListParagraph"/>
        <w:numPr>
          <w:ilvl w:val="0"/>
          <w:numId w:val="2"/>
        </w:numPr>
        <w:spacing w:after="40" w:before="40"/>
      </w:pPr>
      <w:r>
        <w:rPr>
          <w:rFonts w:ascii="Arial" w:cs="Arial" w:eastAsia="Arial" w:hAnsi="Arial"/>
          <w:b/>
          <w:bCs/>
          <w:sz w:val="22"/>
          <w:szCs w:val="22"/>
        </w:rPr>
        <w:t xml:space="preserve">External Hacker:</w:t>
      </w:r>
      <w:r>
        <w:rPr>
          <w:rFonts w:ascii="Arial" w:cs="Arial" w:eastAsia="Arial" w:hAnsi="Arial"/>
          <w:sz w:val="22"/>
          <w:szCs w:val="22"/>
        </w:rPr>
        <w:t xml:space="preserve"> External attackers exploiting vulnerabilities in the web application (SQLi, XSS, auth bypass)</w:t>
      </w:r>
    </w:p>
    <w:p>
      <w:pPr>
        <w:pStyle w:val="ListParagraph"/>
        <w:numPr>
          <w:ilvl w:val="0"/>
          <w:numId w:val="2"/>
        </w:numPr>
        <w:spacing w:after="40" w:before="40"/>
      </w:pPr>
      <w:r>
        <w:rPr>
          <w:rFonts w:ascii="Arial" w:cs="Arial" w:eastAsia="Arial" w:hAnsi="Arial"/>
          <w:b/>
          <w:bCs/>
          <w:sz w:val="22"/>
          <w:szCs w:val="22"/>
        </w:rPr>
        <w:t xml:space="preserve">Phishing:</w:t>
      </w:r>
      <w:r>
        <w:rPr>
          <w:rFonts w:ascii="Arial" w:cs="Arial" w:eastAsia="Arial" w:hAnsi="Arial"/>
          <w:sz w:val="22"/>
          <w:szCs w:val="22"/>
        </w:rPr>
        <w:t xml:space="preserve"> Credential theft via phishing targeting staff email accounts</w:t>
      </w:r>
    </w:p>
    <w:p>
      <w:pPr>
        <w:pStyle w:val="ListParagraph"/>
        <w:numPr>
          <w:ilvl w:val="0"/>
          <w:numId w:val="2"/>
        </w:numPr>
        <w:spacing w:after="40" w:before="40"/>
      </w:pPr>
      <w:r>
        <w:rPr>
          <w:rFonts w:ascii="Arial" w:cs="Arial" w:eastAsia="Arial" w:hAnsi="Arial"/>
          <w:b/>
          <w:bCs/>
          <w:sz w:val="22"/>
          <w:szCs w:val="22"/>
        </w:rPr>
        <w:t xml:space="preserve">Brute Force:</w:t>
      </w:r>
      <w:r>
        <w:rPr>
          <w:rFonts w:ascii="Arial" w:cs="Arial" w:eastAsia="Arial" w:hAnsi="Arial"/>
          <w:sz w:val="22"/>
          <w:szCs w:val="22"/>
        </w:rPr>
        <w:t xml:space="preserve"> Brute-force attacks on staff login and patient portal endpoints</w:t>
      </w:r>
    </w:p>
    <w:p>
      <w:pPr>
        <w:pStyle w:val="ListParagraph"/>
        <w:numPr>
          <w:ilvl w:val="0"/>
          <w:numId w:val="2"/>
        </w:numPr>
        <w:spacing w:after="40" w:before="40"/>
      </w:pPr>
      <w:r>
        <w:rPr>
          <w:rFonts w:ascii="Arial" w:cs="Arial" w:eastAsia="Arial" w:hAnsi="Arial"/>
          <w:b/>
          <w:bCs/>
          <w:sz w:val="22"/>
          <w:szCs w:val="22"/>
        </w:rPr>
        <w:t xml:space="preserve">Social Engineering:</w:t>
      </w:r>
      <w:r>
        <w:rPr>
          <w:rFonts w:ascii="Arial" w:cs="Arial" w:eastAsia="Arial" w:hAnsi="Arial"/>
          <w:sz w:val="22"/>
          <w:szCs w:val="22"/>
        </w:rPr>
        <w:t xml:space="preserve"> Social engineering of staff to obtain access credentials</w:t>
      </w:r>
    </w:p>
    <w:p>
      <w:pPr>
        <w:pStyle w:val="ListParagraph"/>
        <w:numPr>
          <w:ilvl w:val="0"/>
          <w:numId w:val="2"/>
        </w:numPr>
        <w:spacing w:after="40" w:before="40"/>
      </w:pPr>
      <w:r>
        <w:rPr>
          <w:rFonts w:ascii="Arial" w:cs="Arial" w:eastAsia="Arial" w:hAnsi="Arial"/>
          <w:b/>
          <w:bCs/>
          <w:sz w:val="22"/>
          <w:szCs w:val="22"/>
        </w:rPr>
        <w:t xml:space="preserve">Former Employee:</w:t>
      </w:r>
      <w:r>
        <w:rPr>
          <w:rFonts w:ascii="Arial" w:cs="Arial" w:eastAsia="Arial" w:hAnsi="Arial"/>
          <w:sz w:val="22"/>
          <w:szCs w:val="22"/>
        </w:rPr>
        <w:t xml:space="preserve"> Disgruntled former employee using retained access</w:t>
      </w:r>
    </w:p>
    <w:p>
      <w:pPr>
        <w:pStyle w:val="Heading2"/>
        <w:spacing w:after="120" w:before="240"/>
      </w:pPr>
      <w:r>
        <w:rPr>
          <w:b/>
          <w:bCs/>
        </w:rPr>
        <w:t xml:space="preserve">6.2 Natural and Environmental Threats</w:t>
      </w:r>
    </w:p>
    <w:p>
      <w:pPr>
        <w:pStyle w:val="ListParagraph"/>
        <w:numPr>
          <w:ilvl w:val="0"/>
          <w:numId w:val="2"/>
        </w:numPr>
        <w:spacing w:after="40" w:before="40"/>
      </w:pPr>
      <w:r>
        <w:rPr>
          <w:rFonts w:ascii="Arial" w:cs="Arial" w:eastAsia="Arial" w:hAnsi="Arial"/>
          <w:b/>
          <w:bCs/>
          <w:sz w:val="22"/>
          <w:szCs w:val="22"/>
        </w:rPr>
        <w:t xml:space="preserve">Cloud Outage:</w:t>
      </w:r>
      <w:r>
        <w:rPr>
          <w:rFonts w:ascii="Arial" w:cs="Arial" w:eastAsia="Arial" w:hAnsi="Arial"/>
          <w:sz w:val="22"/>
          <w:szCs w:val="22"/>
        </w:rPr>
        <w:t xml:space="preserve"> Extended cloud provider outage (Railway platform downtime)</w:t>
      </w:r>
    </w:p>
    <w:p>
      <w:pPr>
        <w:pStyle w:val="ListParagraph"/>
        <w:numPr>
          <w:ilvl w:val="0"/>
          <w:numId w:val="2"/>
        </w:numPr>
        <w:spacing w:after="40" w:before="40"/>
      </w:pPr>
      <w:r>
        <w:rPr>
          <w:rFonts w:ascii="Arial" w:cs="Arial" w:eastAsia="Arial" w:hAnsi="Arial"/>
          <w:b/>
          <w:bCs/>
          <w:sz w:val="22"/>
          <w:szCs w:val="22"/>
        </w:rPr>
        <w:t xml:space="preserve">Physical Disaster:</w:t>
      </w:r>
      <w:r>
        <w:rPr>
          <w:rFonts w:ascii="Arial" w:cs="Arial" w:eastAsia="Arial" w:hAnsi="Arial"/>
          <w:sz w:val="22"/>
          <w:szCs w:val="22"/>
        </w:rPr>
        <w:t xml:space="preserve"> Data center disaster (fire, flood) affecting Railway infrastructure</w:t>
      </w:r>
    </w:p>
    <w:p>
      <w:pPr>
        <w:pStyle w:val="ListParagraph"/>
        <w:numPr>
          <w:ilvl w:val="0"/>
          <w:numId w:val="2"/>
        </w:numPr>
        <w:spacing w:after="40" w:before="40"/>
      </w:pPr>
      <w:r>
        <w:rPr>
          <w:rFonts w:ascii="Arial" w:cs="Arial" w:eastAsia="Arial" w:hAnsi="Arial"/>
          <w:b/>
          <w:bCs/>
          <w:sz w:val="22"/>
          <w:szCs w:val="22"/>
        </w:rPr>
        <w:t xml:space="preserve">Connectivity Loss:</w:t>
      </w:r>
      <w:r>
        <w:rPr>
          <w:rFonts w:ascii="Arial" w:cs="Arial" w:eastAsia="Arial" w:hAnsi="Arial"/>
          <w:sz w:val="22"/>
          <w:szCs w:val="22"/>
        </w:rPr>
        <w:t xml:space="preserve"> Internet connectivity failure affecting access to cloud-hosted ePHI</w:t>
      </w:r>
    </w:p>
    <w:p>
      <w:pPr>
        <w:pStyle w:val="Heading2"/>
        <w:spacing w:after="120" w:before="240"/>
      </w:pPr>
      <w:r>
        <w:rPr>
          <w:b/>
          <w:bCs/>
        </w:rPr>
        <w:t xml:space="preserve">6.3 Technical Threats</w:t>
      </w:r>
    </w:p>
    <w:p>
      <w:pPr>
        <w:pStyle w:val="ListParagraph"/>
        <w:numPr>
          <w:ilvl w:val="0"/>
          <w:numId w:val="2"/>
        </w:numPr>
        <w:spacing w:after="40" w:before="40"/>
      </w:pPr>
      <w:r>
        <w:rPr>
          <w:rFonts w:ascii="Arial" w:cs="Arial" w:eastAsia="Arial" w:hAnsi="Arial"/>
          <w:b/>
          <w:bCs/>
          <w:sz w:val="22"/>
          <w:szCs w:val="22"/>
        </w:rPr>
        <w:t xml:space="preserve">Software Vulnerability:</w:t>
      </w:r>
      <w:r>
        <w:rPr>
          <w:rFonts w:ascii="Arial" w:cs="Arial" w:eastAsia="Arial" w:hAnsi="Arial"/>
          <w:sz w:val="22"/>
          <w:szCs w:val="22"/>
        </w:rPr>
        <w:t xml:space="preserve"> Software vulnerabilities introduced during development updates</w:t>
      </w:r>
    </w:p>
    <w:p>
      <w:pPr>
        <w:pStyle w:val="ListParagraph"/>
        <w:numPr>
          <w:ilvl w:val="0"/>
          <w:numId w:val="2"/>
        </w:numPr>
        <w:spacing w:after="40" w:before="40"/>
      </w:pPr>
      <w:r>
        <w:rPr>
          <w:rFonts w:ascii="Arial" w:cs="Arial" w:eastAsia="Arial" w:hAnsi="Arial"/>
          <w:b/>
          <w:bCs/>
          <w:sz w:val="22"/>
          <w:szCs w:val="22"/>
        </w:rPr>
        <w:t xml:space="preserve">Data Corruption:</w:t>
      </w:r>
      <w:r>
        <w:rPr>
          <w:rFonts w:ascii="Arial" w:cs="Arial" w:eastAsia="Arial" w:hAnsi="Arial"/>
          <w:sz w:val="22"/>
          <w:szCs w:val="22"/>
        </w:rPr>
        <w:t xml:space="preserve"> Database corruption or accidental data deletion</w:t>
      </w:r>
    </w:p>
    <w:p>
      <w:pPr>
        <w:pStyle w:val="ListParagraph"/>
        <w:numPr>
          <w:ilvl w:val="0"/>
          <w:numId w:val="2"/>
        </w:numPr>
        <w:spacing w:after="40" w:before="40"/>
      </w:pPr>
      <w:r>
        <w:rPr>
          <w:rFonts w:ascii="Arial" w:cs="Arial" w:eastAsia="Arial" w:hAnsi="Arial"/>
          <w:b/>
          <w:bCs/>
          <w:sz w:val="22"/>
          <w:szCs w:val="22"/>
        </w:rPr>
        <w:t xml:space="preserve">Ransomware:</w:t>
      </w:r>
      <w:r>
        <w:rPr>
          <w:rFonts w:ascii="Arial" w:cs="Arial" w:eastAsia="Arial" w:hAnsi="Arial"/>
          <w:sz w:val="22"/>
          <w:szCs w:val="22"/>
        </w:rPr>
        <w:t xml:space="preserve"> Ransomware or malware targeting the cloud environment</w:t>
      </w:r>
    </w:p>
    <w:p>
      <w:pPr>
        <w:pStyle w:val="ListParagraph"/>
        <w:numPr>
          <w:ilvl w:val="0"/>
          <w:numId w:val="2"/>
        </w:numPr>
        <w:spacing w:after="40" w:before="40"/>
      </w:pPr>
      <w:r>
        <w:rPr>
          <w:rFonts w:ascii="Arial" w:cs="Arial" w:eastAsia="Arial" w:hAnsi="Arial"/>
          <w:b/>
          <w:bCs/>
          <w:sz w:val="22"/>
          <w:szCs w:val="22"/>
        </w:rPr>
        <w:t xml:space="preserve">Misconfiguration:</w:t>
      </w:r>
      <w:r>
        <w:rPr>
          <w:rFonts w:ascii="Arial" w:cs="Arial" w:eastAsia="Arial" w:hAnsi="Arial"/>
          <w:sz w:val="22"/>
          <w:szCs w:val="22"/>
        </w:rPr>
        <w:t xml:space="preserve"> Misconfigured cloud storage or database access controls</w:t>
      </w:r>
    </w:p>
    <w:p>
      <w:pPr>
        <w:pStyle w:val="ListParagraph"/>
        <w:numPr>
          <w:ilvl w:val="0"/>
          <w:numId w:val="2"/>
        </w:numPr>
        <w:spacing w:after="40" w:before="40"/>
      </w:pPr>
      <w:r>
        <w:rPr>
          <w:rFonts w:ascii="Arial" w:cs="Arial" w:eastAsia="Arial" w:hAnsi="Arial"/>
          <w:b/>
          <w:bCs/>
          <w:sz w:val="22"/>
          <w:szCs w:val="22"/>
        </w:rPr>
        <w:t xml:space="preserve">Fax Misdirection:</w:t>
      </w:r>
      <w:r>
        <w:rPr>
          <w:rFonts w:ascii="Arial" w:cs="Arial" w:eastAsia="Arial" w:hAnsi="Arial"/>
          <w:sz w:val="22"/>
          <w:szCs w:val="22"/>
        </w:rPr>
        <w:t xml:space="preserve"> Misdirected fax transmission of imaging orders containing ePHI</w:t>
      </w:r>
    </w:p>
    <w:p>
      <w:pPr>
        <w:pStyle w:val="ListParagraph"/>
        <w:numPr>
          <w:ilvl w:val="0"/>
          <w:numId w:val="2"/>
        </w:numPr>
        <w:spacing w:after="40" w:before="40"/>
      </w:pPr>
      <w:r>
        <w:rPr>
          <w:rFonts w:ascii="Arial" w:cs="Arial" w:eastAsia="Arial" w:hAnsi="Arial"/>
          <w:b/>
          <w:bCs/>
          <w:sz w:val="22"/>
          <w:szCs w:val="22"/>
        </w:rPr>
        <w:t xml:space="preserve">Vendor Breach:</w:t>
      </w:r>
      <w:r>
        <w:rPr>
          <w:rFonts w:ascii="Arial" w:cs="Arial" w:eastAsia="Arial" w:hAnsi="Arial"/>
          <w:sz w:val="22"/>
          <w:szCs w:val="22"/>
        </w:rPr>
        <w:t xml:space="preserve"> Third-party vendor breach (Railway, Telnyx, Square, LabCorp)</w:t>
      </w:r>
    </w:p>
    <w:p>
      <w:r>
        <w:br w:type="page"/>
      </w:r>
    </w:p>
    <w:p>
      <w:pPr>
        <w:pStyle w:val="Heading1"/>
        <w:spacing w:after="120" w:before="240"/>
      </w:pPr>
      <w:r>
        <w:rPr>
          <w:b/>
          <w:bCs/>
        </w:rPr>
        <w:t xml:space="preserve">7. Risk Register</w:t>
      </w:r>
    </w:p>
    <w:p>
      <w:pPr>
        <w:spacing w:after="80" w:before="60"/>
        <w:jc w:val="left"/>
      </w:pPr>
      <w:r>
        <w:rPr>
          <w:rFonts w:ascii="Arial" w:cs="Arial" w:eastAsia="Arial" w:hAnsi="Arial"/>
          <w:b w:val="false"/>
          <w:bCs w:val="false"/>
          <w:i w:val="false"/>
          <w:iCs w:val="false"/>
          <w:sz w:val="22"/>
          <w:szCs w:val="22"/>
        </w:rPr>
        <w:t xml:space="preserve">Each risk is rated using a 3×3 likelihood/impact matrix. Likelihood: Low = unlikely given current controls; Medium = plausible; High = likely or already occurring. Impact: Low = limited ePHI affected, recoverable; Medium = significant ePHI exposure; High = widespread breach, regulatory penalty, patient harm.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2600"/>
        <w:gridCol w:w="800"/>
        <w:gridCol w:w="800"/>
        <w:gridCol w:w="700"/>
        <w:gridCol w:w="2560"/>
      </w:tblGrid>
      <w:tr>
        <w:trPr>
          <w:tblHeader/>
        </w:trPr>
        <w:tc>
          <w:tcPr>
            <w:tcW w:type="dxa" w:w="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w:t>
            </w:r>
          </w:p>
        </w:tc>
        <w:tc>
          <w:tcPr>
            <w:tcW w:type="dxa" w:w="1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Category</w:t>
            </w:r>
          </w:p>
        </w:tc>
        <w:tc>
          <w:tcPr>
            <w:tcW w:type="dxa" w:w="26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Threat / Vulnerability</w:t>
            </w:r>
          </w:p>
        </w:tc>
        <w:tc>
          <w:tcPr>
            <w:tcW w:type="dxa" w:w="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Likelihood</w:t>
            </w:r>
          </w:p>
        </w:tc>
        <w:tc>
          <w:tcPr>
            <w:tcW w:type="dxa" w:w="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Impact</w:t>
            </w:r>
          </w:p>
        </w:tc>
        <w:tc>
          <w:tcPr>
            <w:tcW w:type="dxa" w:w="7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Risk</w:t>
            </w:r>
          </w:p>
        </w:tc>
        <w:tc>
          <w:tcPr>
            <w:tcW w:type="dxa" w:w="25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Existing / Recommended Control</w:t>
            </w:r>
          </w:p>
        </w:tc>
      </w:tr>
      <w:t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Administrative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No signed BAAs with Railway, Telnyx, Square, LabCorp — vendors have access to ePHI without contractual HIPAA obligations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High</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High</w:t>
            </w:r>
          </w:p>
        </w:tc>
        <w:tc>
          <w:tcPr>
            <w:tcW w:type="dxa" w:w="7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18"/>
                <w:szCs w:val="18"/>
              </w:rPr>
              <w:t xml:space="preserve">HIGH</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Immediately execute BAAs with all vendors. Railway, Telnyx, and Square all offer BAA agreements on applicable plans.</w:t>
            </w:r>
          </w:p>
        </w:tc>
      </w:tr>
      <w:t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Administrative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No formal documented workforce HIPAA training program or training completion records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High</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Medium</w:t>
            </w:r>
          </w:p>
        </w:tc>
        <w:tc>
          <w:tcPr>
            <w:tcW w:type="dxa" w:w="7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18"/>
                <w:szCs w:val="18"/>
              </w:rPr>
              <w:t xml:space="preserve">HIGH</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Implement annual HIPAA training; document completion dates and topics covered for all workforce members.</w:t>
            </w:r>
          </w:p>
        </w:tc>
      </w:tr>
      <w:t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3</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Administrative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No formal written Incident Response / Breach Notification Plan (required under § 164.308(a)(6))</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Medium</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High</w:t>
            </w:r>
          </w:p>
        </w:tc>
        <w:tc>
          <w:tcPr>
            <w:tcW w:type="dxa" w:w="7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18"/>
                <w:szCs w:val="18"/>
              </w:rPr>
              <w:t xml:space="preserve">HIGH</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Develop and test a Breach Notification Plan covering the 60-day OCR notification requirement and patient notification obligations.</w:t>
            </w:r>
          </w:p>
        </w:tc>
      </w:tr>
      <w:t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4</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Administrative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No formal user access review process; former employee access not verified as terminated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Medium</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High</w:t>
            </w:r>
          </w:p>
        </w:tc>
        <w:tc>
          <w:tcPr>
            <w:tcW w:type="dxa" w:w="7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18"/>
                <w:szCs w:val="18"/>
              </w:rPr>
              <w:t xml:space="preserve">HIGH</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Implement quarterly access reviews; define offboarding procedure to immediately revoke credentials.</w:t>
            </w:r>
          </w:p>
        </w:tc>
      </w:tr>
      <w:t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5</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Administrative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No documented data retention and disposal policy</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Low</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Medium</w:t>
            </w:r>
          </w:p>
        </w:tc>
        <w:tc>
          <w:tcPr>
            <w:tcW w:type="dxa" w:w="7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spacing w:after="0" w:before="0"/>
            </w:pPr>
            <w:r>
              <w:rPr>
                <w:rFonts w:ascii="Arial" w:cs="Arial" w:eastAsia="Arial" w:hAnsi="Arial"/>
                <w:b/>
                <w:bCs/>
                <w:color w:val="92400E"/>
                <w:sz w:val="18"/>
                <w:szCs w:val="18"/>
              </w:rPr>
              <w:t xml:space="preserve">MEDIUM</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Adopt a retention policy consistent with Virginia medical record law (minimum 5 years for adults). Define secure disposal procedures.</w:t>
            </w:r>
          </w:p>
        </w:tc>
      </w:tr>
      <w:t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6</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Administrative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No audit log review process or alerts for suspicious access patterns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Medium</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Medium</w:t>
            </w:r>
          </w:p>
        </w:tc>
        <w:tc>
          <w:tcPr>
            <w:tcW w:type="dxa" w:w="7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spacing w:after="0" w:before="0"/>
            </w:pPr>
            <w:r>
              <w:rPr>
                <w:rFonts w:ascii="Arial" w:cs="Arial" w:eastAsia="Arial" w:hAnsi="Arial"/>
                <w:b/>
                <w:bCs/>
                <w:color w:val="92400E"/>
                <w:sz w:val="18"/>
                <w:szCs w:val="18"/>
              </w:rPr>
              <w:t xml:space="preserve">MEDIUM</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Schedule regular review of AuditLog entries; consider automated alerting on anomalous access.</w:t>
            </w:r>
          </w:p>
        </w:tc>
      </w:tr>
      <w:t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7</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Technical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No multi-factor authentication (MFA) for staff login — credential compromise leads to full ePHI access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Medium</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High</w:t>
            </w:r>
          </w:p>
        </w:tc>
        <w:tc>
          <w:tcPr>
            <w:tcW w:type="dxa" w:w="7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18"/>
                <w:szCs w:val="18"/>
              </w:rPr>
              <w:t xml:space="preserve">HIGH</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Implement TOTP-based MFA for all staff logins. Until implemented, enforce strong password policy.</w:t>
            </w:r>
          </w:p>
        </w:tc>
      </w:tr>
      <w:t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8</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Technical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No inactivity-based session timeout — unattended workstation leaves ePHI exposed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High</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Medium</w:t>
            </w:r>
          </w:p>
        </w:tc>
        <w:tc>
          <w:tcPr>
            <w:tcW w:type="dxa" w:w="7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18"/>
                <w:szCs w:val="18"/>
              </w:rPr>
              <w:t xml:space="preserve">HIGH</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Implement client-side inactivity timeout (recommended: 15 minutes) that clears the JWT and requires re-authentication.</w:t>
            </w:r>
          </w:p>
        </w:tc>
      </w:tr>
      <w:t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9</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Technical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No rate limiting on /api/auth/login or /portal/login — brute-force attacks feasible</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Medium</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High</w:t>
            </w:r>
          </w:p>
        </w:tc>
        <w:tc>
          <w:tcPr>
            <w:tcW w:type="dxa" w:w="7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18"/>
                <w:szCs w:val="18"/>
              </w:rPr>
              <w:t xml:space="preserve">HIGH</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Add rate limiting (e.g., 5 failed attempts per IP per 10 minutes) and account lockout logic.</w:t>
            </w:r>
          </w:p>
        </w:tc>
      </w:tr>
      <w:t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10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Technical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Password complexity not enforced at API level — weak passwords accepted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High</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Medium</w:t>
            </w:r>
          </w:p>
        </w:tc>
        <w:tc>
          <w:tcPr>
            <w:tcW w:type="dxa" w:w="7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18"/>
                <w:szCs w:val="18"/>
              </w:rPr>
              <w:t xml:space="preserve">HIGH</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Enforce minimum 12 characters, require mixed case/numbers/symbols, reject common passwords.</w:t>
            </w:r>
          </w:p>
        </w:tc>
      </w:tr>
      <w:t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11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Technical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Patient portal JWT validity is 24 hours — far exceeds recommended inactivity window for PHI access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Medium</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Medium</w:t>
            </w:r>
          </w:p>
        </w:tc>
        <w:tc>
          <w:tcPr>
            <w:tcW w:type="dxa" w:w="7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spacing w:after="0" w:before="0"/>
            </w:pPr>
            <w:r>
              <w:rPr>
                <w:rFonts w:ascii="Arial" w:cs="Arial" w:eastAsia="Arial" w:hAnsi="Arial"/>
                <w:b/>
                <w:bCs/>
                <w:color w:val="92400E"/>
                <w:sz w:val="18"/>
                <w:szCs w:val="18"/>
              </w:rPr>
              <w:t xml:space="preserve">MEDIUM</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Reduce portal token to 2 hours with optional refresh; implement the same inactivity timeout as staff.</w:t>
            </w:r>
          </w:p>
        </w:tc>
      </w:tr>
      <w:t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12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Technical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Imaging result file uploads stored on Railway ephemeral filesystem — files may be lost on redeploy</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High</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Medium</w:t>
            </w:r>
          </w:p>
        </w:tc>
        <w:tc>
          <w:tcPr>
            <w:tcW w:type="dxa" w:w="7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18"/>
                <w:szCs w:val="18"/>
              </w:rPr>
              <w:t xml:space="preserve">HIGH</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Migrate file storage to a persistent, encrypted object store (e.g., Railway Volume or AWS S3 with server-side encryption).</w:t>
            </w:r>
          </w:p>
        </w:tc>
      </w:tr>
      <w:t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13</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Technical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Encryption at rest for PostgreSQL database not formally verified or documented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Low</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High</w:t>
            </w:r>
          </w:p>
        </w:tc>
        <w:tc>
          <w:tcPr>
            <w:tcW w:type="dxa" w:w="7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spacing w:after="0" w:before="0"/>
            </w:pPr>
            <w:r>
              <w:rPr>
                <w:rFonts w:ascii="Arial" w:cs="Arial" w:eastAsia="Arial" w:hAnsi="Arial"/>
                <w:b/>
                <w:bCs/>
                <w:color w:val="92400E"/>
                <w:sz w:val="18"/>
                <w:szCs w:val="18"/>
              </w:rPr>
              <w:t xml:space="preserve">MEDIUM</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Confirm Railway PostgreSQL encryption at rest is enabled; document in security inventory with screenshot/certificate.</w:t>
            </w:r>
          </w:p>
        </w:tc>
      </w:tr>
      <w:t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14</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Technical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No database backup or disaster recovery plan documented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Low</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High</w:t>
            </w:r>
          </w:p>
        </w:tc>
        <w:tc>
          <w:tcPr>
            <w:tcW w:type="dxa" w:w="7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spacing w:after="0" w:before="0"/>
            </w:pPr>
            <w:r>
              <w:rPr>
                <w:rFonts w:ascii="Arial" w:cs="Arial" w:eastAsia="Arial" w:hAnsi="Arial"/>
                <w:b/>
                <w:bCs/>
                <w:color w:val="92400E"/>
                <w:sz w:val="18"/>
                <w:szCs w:val="18"/>
              </w:rPr>
              <w:t xml:space="preserve">MEDIUM</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Configure and test automated Railway database backups; document recovery time/point objectives (RTO/RPO).</w:t>
            </w:r>
          </w:p>
        </w:tc>
      </w:tr>
      <w:t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15</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Technical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Misdirected fax — fax number entered manually for imaging orders; no verification step</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Medium</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High</w:t>
            </w:r>
          </w:p>
        </w:tc>
        <w:tc>
          <w:tcPr>
            <w:tcW w:type="dxa" w:w="7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18"/>
                <w:szCs w:val="18"/>
              </w:rPr>
              <w:t xml:space="preserve">HIGH</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Add a confirmation dialog showing destination number before sending; consider a saved-facility whitelist.</w:t>
            </w:r>
          </w:p>
        </w:tc>
      </w:tr>
      <w:t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16</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Technical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No Content Security Policy (CSP) or security HTTP headers on frontend responses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Low</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Medium</w:t>
            </w:r>
          </w:p>
        </w:tc>
        <w:tc>
          <w:tcPr>
            <w:tcW w:type="dxa" w:w="7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tcPr>
          <w:p>
            <w:pPr>
              <w:spacing w:after="0" w:before="0"/>
            </w:pPr>
            <w:r>
              <w:rPr>
                <w:rFonts w:ascii="Arial" w:cs="Arial" w:eastAsia="Arial" w:hAnsi="Arial"/>
                <w:b/>
                <w:bCs/>
                <w:color w:val="14532D"/>
                <w:sz w:val="18"/>
                <w:szCs w:val="18"/>
              </w:rPr>
              <w:t xml:space="preserve">LOW</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Add CSP, X-Frame-Options, X-Content-Type-Options, and HSTS headers to all HTML responses.</w:t>
            </w:r>
          </w:p>
        </w:tc>
      </w:tr>
      <w:t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17</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Technical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API keys and secrets stored in Railway environment variables — access controls not documented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Low</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Medium</w:t>
            </w:r>
          </w:p>
        </w:tc>
        <w:tc>
          <w:tcPr>
            <w:tcW w:type="dxa" w:w="7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spacing w:after="0" w:before="0"/>
            </w:pPr>
            <w:r>
              <w:rPr>
                <w:rFonts w:ascii="Arial" w:cs="Arial" w:eastAsia="Arial" w:hAnsi="Arial"/>
                <w:b/>
                <w:bCs/>
                <w:color w:val="92400E"/>
                <w:sz w:val="18"/>
                <w:szCs w:val="18"/>
              </w:rPr>
              <w:t xml:space="preserve">MEDIUM</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Audit who has access to Railway project environment variables; restrict to minimum necessary workforce.</w:t>
            </w:r>
          </w:p>
        </w:tc>
      </w:tr>
      <w:t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18</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Physical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No documented policy for accessing ePHI on personal devices (BYOD) — screen capture, sync risks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Medium</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Medium</w:t>
            </w:r>
          </w:p>
        </w:tc>
        <w:tc>
          <w:tcPr>
            <w:tcW w:type="dxa" w:w="7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spacing w:after="0" w:before="0"/>
            </w:pPr>
            <w:r>
              <w:rPr>
                <w:rFonts w:ascii="Arial" w:cs="Arial" w:eastAsia="Arial" w:hAnsi="Arial"/>
                <w:b/>
                <w:bCs/>
                <w:color w:val="92400E"/>
                <w:sz w:val="18"/>
                <w:szCs w:val="18"/>
              </w:rPr>
              <w:t xml:space="preserve">MEDIUM</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Adopt a BYOD or acceptable use policy; consider requiring auto-lock and prohibiting cloud syncing of ePHI.</w:t>
            </w:r>
          </w:p>
        </w:tc>
      </w:tr>
      <w:t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19</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Physical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Workstation screens may be visible to patients in exam rooms (shoulder surfing)</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Low</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Medium</w:t>
            </w:r>
          </w:p>
        </w:tc>
        <w:tc>
          <w:tcPr>
            <w:tcW w:type="dxa" w:w="7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tcPr>
          <w:p>
            <w:pPr>
              <w:spacing w:after="0" w:before="0"/>
            </w:pPr>
            <w:r>
              <w:rPr>
                <w:rFonts w:ascii="Arial" w:cs="Arial" w:eastAsia="Arial" w:hAnsi="Arial"/>
                <w:b/>
                <w:bCs/>
                <w:color w:val="14532D"/>
                <w:sz w:val="18"/>
                <w:szCs w:val="18"/>
              </w:rPr>
              <w:t xml:space="preserve">LOW</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Use privacy screens; implement position/placement standards for monitors in patient-facing areas.</w:t>
            </w:r>
          </w:p>
        </w:tc>
      </w:tr>
      <w:t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20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Physical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Extended Railway cloud outage could render ePHI unavailable for clinical care</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Low</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High</w:t>
            </w:r>
          </w:p>
        </w:tc>
        <w:tc>
          <w:tcPr>
            <w:tcW w:type="dxa" w:w="7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spacing w:after="0" w:before="0"/>
            </w:pPr>
            <w:r>
              <w:rPr>
                <w:rFonts w:ascii="Arial" w:cs="Arial" w:eastAsia="Arial" w:hAnsi="Arial"/>
                <w:b/>
                <w:bCs/>
                <w:color w:val="92400E"/>
                <w:sz w:val="18"/>
                <w:szCs w:val="18"/>
              </w:rPr>
              <w:t xml:space="preserve">MEDIUM</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Develop a downtime procedure (paper-based or cached local backup) for continued care during outages.</w:t>
            </w:r>
          </w:p>
        </w:tc>
      </w:tr>
      <w:t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21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Vendor / Third-Party</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Railway cloud platform breach could expose entire PostgreSQL database containing all ePHI</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Low</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High</w:t>
            </w:r>
          </w:p>
        </w:tc>
        <w:tc>
          <w:tcPr>
            <w:tcW w:type="dxa" w:w="7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spacing w:after="0" w:before="0"/>
            </w:pPr>
            <w:r>
              <w:rPr>
                <w:rFonts w:ascii="Arial" w:cs="Arial" w:eastAsia="Arial" w:hAnsi="Arial"/>
                <w:b/>
                <w:bCs/>
                <w:color w:val="92400E"/>
                <w:sz w:val="18"/>
                <w:szCs w:val="18"/>
              </w:rPr>
              <w:t xml:space="preserve">MEDIUM</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Verify encryption at rest; execute BAA; monitor Railway security advisories; consider data-level encryption for highest-sensitivity fields.</w:t>
            </w:r>
          </w:p>
        </w:tc>
      </w:tr>
      <w:t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22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Vendor / Third-Party</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Telnyx fax breach or misconfiguration could expose imaging/prescription orders containing patient ePHI</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Low</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High</w:t>
            </w:r>
          </w:p>
        </w:tc>
        <w:tc>
          <w:tcPr>
            <w:tcW w:type="dxa" w:w="7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spacing w:after="0" w:before="0"/>
            </w:pPr>
            <w:r>
              <w:rPr>
                <w:rFonts w:ascii="Arial" w:cs="Arial" w:eastAsia="Arial" w:hAnsi="Arial"/>
                <w:b/>
                <w:bCs/>
                <w:color w:val="92400E"/>
                <w:sz w:val="18"/>
                <w:szCs w:val="18"/>
              </w:rPr>
              <w:t xml:space="preserve">MEDIUM</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Execute Telnyx BAA; verify fax PDF tokens expire promptly after transmission; review fax log access controls.</w:t>
            </w:r>
          </w:p>
        </w:tc>
      </w:tr>
      <w:t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23</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Vendor / Third-Party</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LabCorp API credential compromise could expose patient lab orders and results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Low</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High</w:t>
            </w:r>
          </w:p>
        </w:tc>
        <w:tc>
          <w:tcPr>
            <w:tcW w:type="dxa" w:w="7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spacing w:after="0" w:before="0"/>
            </w:pPr>
            <w:r>
              <w:rPr>
                <w:rFonts w:ascii="Arial" w:cs="Arial" w:eastAsia="Arial" w:hAnsi="Arial"/>
                <w:b/>
                <w:bCs/>
                <w:color w:val="92400E"/>
                <w:sz w:val="18"/>
                <w:szCs w:val="18"/>
              </w:rPr>
              <w:t xml:space="preserve">MEDIUM</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Rotate LabCorp API credentials regularly; restrict access via Railway environment variable permissions; execute LabCorp BAA.</w:t>
            </w:r>
          </w:p>
        </w:tc>
      </w:tr>
      <w:t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24</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Vendor / Third-Party</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Square payment platform — patient name linked to card-on-file; breach exposes payment and identity data</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Low</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8"/>
                <w:szCs w:val="18"/>
              </w:rPr>
              <w:t xml:space="preserve">Medium</w:t>
            </w:r>
          </w:p>
        </w:tc>
        <w:tc>
          <w:tcPr>
            <w:tcW w:type="dxa" w:w="700"/>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tcPr>
          <w:p>
            <w:pPr>
              <w:spacing w:after="0" w:before="0"/>
            </w:pPr>
            <w:r>
              <w:rPr>
                <w:rFonts w:ascii="Arial" w:cs="Arial" w:eastAsia="Arial" w:hAnsi="Arial"/>
                <w:b/>
                <w:bCs/>
                <w:color w:val="14532D"/>
                <w:sz w:val="18"/>
                <w:szCs w:val="18"/>
              </w:rPr>
              <w:t xml:space="preserve">LOW</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Execute Square BAA; ensure no raw card data ever touches the EMR server (Square SDK handles tokenisation).</w:t>
            </w:r>
          </w:p>
        </w:tc>
      </w:tr>
    </w:tbl>
    <w:p>
      <w:r>
        <w:br w:type="page"/>
      </w:r>
    </w:p>
    <w:p>
      <w:pPr>
        <w:pStyle w:val="Heading1"/>
        <w:spacing w:after="120" w:before="240"/>
      </w:pPr>
      <w:r>
        <w:rPr>
          <w:b/>
          <w:bCs/>
        </w:rPr>
        <w:t xml:space="preserve">8. Remediation Roadmap</w:t>
      </w:r>
    </w:p>
    <w:p>
      <w:pPr>
        <w:spacing w:after="80" w:before="60"/>
        <w:jc w:val="left"/>
      </w:pPr>
      <w:r>
        <w:rPr>
          <w:rFonts w:ascii="Arial" w:cs="Arial" w:eastAsia="Arial" w:hAnsi="Arial"/>
          <w:b w:val="false"/>
          <w:bCs w:val="false"/>
          <w:i w:val="false"/>
          <w:iCs w:val="false"/>
          <w:sz w:val="22"/>
          <w:szCs w:val="22"/>
        </w:rPr>
        <w:t xml:space="preserve">Corrective actions are organised into three time-based phases. All HIGH-rated risks must be addressed in Phase 1 regardless of effort. A written Risk Management Plan (required by § 164.308(a)(1)(ii)(B)) should be maintained to document progress.</w:t>
      </w:r>
    </w:p>
    <w:p>
      <w:pPr>
        <w:pStyle w:val="Heading2"/>
        <w:spacing w:after="120" w:before="240"/>
      </w:pPr>
      <w:r>
        <w:rPr>
          <w:b/>
          <w:bCs/>
        </w:rPr>
        <w:t xml:space="preserve">Phase 1 — Immediate (0–30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2160"/>
        <w:gridCol w:w="1600"/>
      </w:tblGrid>
      <w:tr>
        <w:trPr>
          <w:tblHeader/>
        </w:trPr>
        <w:tc>
          <w:tcPr>
            <w:tcW w:type="dxa" w:w="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w:t>
            </w:r>
          </w:p>
        </w:tc>
        <w:tc>
          <w:tcPr>
            <w:tcW w:type="dxa" w:w="5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Action</w:t>
            </w:r>
          </w:p>
        </w:tc>
        <w:tc>
          <w:tcPr>
            <w:tcW w:type="dxa" w:w="21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Owner</w:t>
            </w:r>
          </w:p>
        </w:tc>
        <w:tc>
          <w:tcPr>
            <w:tcW w:type="dxa" w:w="16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Risk Ref.</w:t>
            </w:r>
          </w:p>
        </w:tc>
      </w:tr>
      <w:tr>
        <w:trPr>
          <w:tblHeader w:val="false"/>
        </w:trP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1</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Execute BAAs with Railway, Telnyx, Square, and LabCorp</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Practice Administrator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R-1</w:t>
            </w:r>
          </w:p>
        </w:tc>
      </w:tr>
      <w:tr>
        <w:trPr>
          <w:tblHeader w:val="false"/>
        </w:trP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2</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Implement 15-minute inactivity timeout on staff EMR (client-side JWT clear)</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Developer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R-8</w:t>
            </w:r>
          </w:p>
        </w:tc>
      </w:tr>
      <w:tr>
        <w:trPr>
          <w:tblHeader w:val="false"/>
        </w:trP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3</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Add rate limiting (5 attempts / 10 min) to /api/auth/login and /portal/login</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Developer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R-9</w:t>
            </w:r>
          </w:p>
        </w:tc>
      </w:tr>
      <w:tr>
        <w:trPr>
          <w:tblHeader w:val="false"/>
        </w:trP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4</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Enforce password minimum 12 characters at API level for staff and portal accounts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Developer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R-10</w:t>
            </w:r>
          </w:p>
        </w:tc>
      </w:tr>
      <w:tr>
        <w:trPr>
          <w:tblHeader w:val="false"/>
        </w:trP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5</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Migrate result file uploads from ephemeral filesystem to persistent encrypted storage (Railway Volume or S3)</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Developer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R-12</w:t>
            </w:r>
          </w:p>
        </w:tc>
      </w:tr>
      <w:tr>
        <w:trPr>
          <w:tblHeader w:val="false"/>
        </w:trP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6</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Add fax-number confirmation dialog before sending imaging orders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Developer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R-15</w:t>
            </w:r>
          </w:p>
        </w:tc>
      </w:tr>
      <w:tr>
        <w:trPr>
          <w:tblHeader w:val="false"/>
        </w:trP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7</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Develop and document Breach Notification / Incident Response Plan</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Privacy Officer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R-3</w:t>
            </w:r>
          </w:p>
        </w:tc>
      </w:tr>
      <w:tr>
        <w:trPr>
          <w:tblHeader w:val="false"/>
        </w:trP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8</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Conduct initial HIPAA workforce training for all staff; document completion records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Privacy Officer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R-2</w:t>
            </w:r>
          </w:p>
        </w:tc>
      </w:tr>
      <w:tr>
        <w:trPr>
          <w:tblHeader w:val="false"/>
        </w:trP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9</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Define and document employee offboarding procedure with immediate credential revocation</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Practice Administrator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R-4</w:t>
            </w:r>
          </w:p>
        </w:tc>
      </w:tr>
    </w:tbl>
    <w:p>
      <w:pPr>
        <w:spacing w:after="0" w:before="0"/>
      </w:pPr>
      <w:r>
        <w:t xml:space="preserve"/>
      </w:r>
    </w:p>
    <w:p>
      <w:pPr>
        <w:pStyle w:val="Heading2"/>
        <w:spacing w:after="120" w:before="240"/>
      </w:pPr>
      <w:r>
        <w:rPr>
          <w:b/>
          <w:bCs/>
        </w:rPr>
        <w:t xml:space="preserve">Phase 2 — Near-Term (30–90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2160"/>
        <w:gridCol w:w="1600"/>
      </w:tblGrid>
      <w:tr>
        <w:trPr>
          <w:tblHeader/>
        </w:trPr>
        <w:tc>
          <w:tcPr>
            <w:tcW w:type="dxa" w:w="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w:t>
            </w:r>
          </w:p>
        </w:tc>
        <w:tc>
          <w:tcPr>
            <w:tcW w:type="dxa" w:w="5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Action</w:t>
            </w:r>
          </w:p>
        </w:tc>
        <w:tc>
          <w:tcPr>
            <w:tcW w:type="dxa" w:w="21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Owner</w:t>
            </w:r>
          </w:p>
        </w:tc>
        <w:tc>
          <w:tcPr>
            <w:tcW w:type="dxa" w:w="16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Risk Ref.</w:t>
            </w:r>
          </w:p>
        </w:tc>
      </w:tr>
      <w:tr>
        <w:trPr>
          <w:tblHeader w:val="false"/>
        </w:trP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10</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Implement TOTP-based multi-factor authentication (MFA) for all staff logins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Developer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R-7</w:t>
            </w:r>
          </w:p>
        </w:tc>
      </w:tr>
      <w:tr>
        <w:trPr>
          <w:tblHeader w:val="false"/>
        </w:trP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11</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Reduce patient portal JWT to 2 hours; implement inactivity timeout on portal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Developer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R-11</w:t>
            </w:r>
          </w:p>
        </w:tc>
      </w:tr>
      <w:tr>
        <w:trPr>
          <w:tblHeader w:val="false"/>
        </w:trP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12</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Configure and test automated Railway database backups; document RTO/RPO</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Developer / Admin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R-14</w:t>
            </w:r>
          </w:p>
        </w:tc>
      </w:tr>
      <w:tr>
        <w:trPr>
          <w:tblHeader w:val="false"/>
        </w:trP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13</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Formally verify and document Railway PostgreSQL encryption-at-rest configuration</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Developer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R-13</w:t>
            </w:r>
          </w:p>
        </w:tc>
      </w:tr>
      <w:tr>
        <w:trPr>
          <w:tblHeader w:val="false"/>
        </w:trP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14</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Add HTTP security headers (CSP, HSTS, X-Frame-Options) to all frontend responses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Developer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R-16</w:t>
            </w:r>
          </w:p>
        </w:tc>
      </w:tr>
      <w:tr>
        <w:trPr>
          <w:tblHeader w:val="false"/>
        </w:trP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15</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Implement quarterly user access review process; produce first access review report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Privacy Officer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R-4</w:t>
            </w:r>
          </w:p>
        </w:tc>
      </w:tr>
      <w:tr>
        <w:trPr>
          <w:tblHeader w:val="false"/>
        </w:trP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16</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Draft BYOD / acceptable use policy; communicate to all workforce members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Privacy Officer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R-18</w:t>
            </w:r>
          </w:p>
        </w:tc>
      </w:tr>
      <w:tr>
        <w:trPr>
          <w:tblHeader w:val="false"/>
        </w:trPr>
        <w:tc>
          <w:tcPr>
            <w:tcW w:type="dxa" w:w="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17</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Audit Railway project access — restrict environment variable visibility to minimum necessary</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Developer / Admin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R-17</w:t>
            </w:r>
          </w:p>
        </w:tc>
      </w:tr>
    </w:tbl>
    <w:p>
      <w:pPr>
        <w:spacing w:after="0" w:before="0"/>
      </w:pPr>
      <w:r>
        <w:t xml:space="preserve"/>
      </w:r>
    </w:p>
    <w:p>
      <w:pPr>
        <w:pStyle w:val="Heading2"/>
        <w:spacing w:after="120" w:before="240"/>
      </w:pPr>
      <w:r>
        <w:rPr>
          <w:b/>
          <w:bCs/>
        </w:rPr>
        <w:t xml:space="preserve">Phase 3 — Ongoing (90+ days)</w:t>
      </w:r>
    </w:p>
    <w:p>
      <w:pPr>
        <w:pStyle w:val="ListParagraph"/>
        <w:numPr>
          <w:ilvl w:val="0"/>
          <w:numId w:val="2"/>
        </w:numPr>
        <w:spacing w:after="40" w:before="40"/>
      </w:pPr>
      <w:r>
        <w:rPr>
          <w:rFonts w:ascii="Arial" w:cs="Arial" w:eastAsia="Arial" w:hAnsi="Arial"/>
          <w:sz w:val="22"/>
          <w:szCs w:val="22"/>
        </w:rPr>
        <w:t xml:space="preserve">Establish monthly review of audit logs; document findings and any anomalies investigated</w:t>
      </w:r>
    </w:p>
    <w:p>
      <w:pPr>
        <w:pStyle w:val="ListParagraph"/>
        <w:numPr>
          <w:ilvl w:val="0"/>
          <w:numId w:val="2"/>
        </w:numPr>
        <w:spacing w:after="40" w:before="40"/>
      </w:pPr>
      <w:r>
        <w:rPr>
          <w:rFonts w:ascii="Arial" w:cs="Arial" w:eastAsia="Arial" w:hAnsi="Arial"/>
          <w:sz w:val="22"/>
          <w:szCs w:val="22"/>
        </w:rPr>
        <w:t xml:space="preserve">Adopt a data retention schedule aligned with Virginia state law (min. 5 years for adult records)</w:t>
      </w:r>
    </w:p>
    <w:p>
      <w:pPr>
        <w:pStyle w:val="ListParagraph"/>
        <w:numPr>
          <w:ilvl w:val="0"/>
          <w:numId w:val="2"/>
        </w:numPr>
        <w:spacing w:after="40" w:before="40"/>
      </w:pPr>
      <w:r>
        <w:rPr>
          <w:rFonts w:ascii="Arial" w:cs="Arial" w:eastAsia="Arial" w:hAnsi="Arial"/>
          <w:sz w:val="22"/>
          <w:szCs w:val="22"/>
        </w:rPr>
        <w:t xml:space="preserve">Develop a downtime / continuity-of-care procedure for cloud outages</w:t>
      </w:r>
    </w:p>
    <w:p>
      <w:pPr>
        <w:pStyle w:val="ListParagraph"/>
        <w:numPr>
          <w:ilvl w:val="0"/>
          <w:numId w:val="2"/>
        </w:numPr>
        <w:spacing w:after="40" w:before="40"/>
      </w:pPr>
      <w:r>
        <w:rPr>
          <w:rFonts w:ascii="Arial" w:cs="Arial" w:eastAsia="Arial" w:hAnsi="Arial"/>
          <w:sz w:val="22"/>
          <w:szCs w:val="22"/>
        </w:rPr>
        <w:t xml:space="preserve">Consider engaging a third-party HIPAA security consultant for a formal gap assessment</w:t>
      </w:r>
    </w:p>
    <w:p>
      <w:pPr>
        <w:pStyle w:val="ListParagraph"/>
        <w:numPr>
          <w:ilvl w:val="0"/>
          <w:numId w:val="2"/>
        </w:numPr>
        <w:spacing w:after="40" w:before="40"/>
      </w:pPr>
      <w:r>
        <w:rPr>
          <w:rFonts w:ascii="Arial" w:cs="Arial" w:eastAsia="Arial" w:hAnsi="Arial"/>
          <w:sz w:val="22"/>
          <w:szCs w:val="22"/>
        </w:rPr>
        <w:t xml:space="preserve">Consider HITRUST CSF certification as the practice scales to multiple providers</w:t>
      </w:r>
    </w:p>
    <w:p>
      <w:pPr>
        <w:pStyle w:val="ListParagraph"/>
        <w:numPr>
          <w:ilvl w:val="0"/>
          <w:numId w:val="2"/>
        </w:numPr>
        <w:spacing w:after="40" w:before="40"/>
      </w:pPr>
      <w:r>
        <w:rPr>
          <w:rFonts w:ascii="Arial" w:cs="Arial" w:eastAsia="Arial" w:hAnsi="Arial"/>
          <w:sz w:val="22"/>
          <w:szCs w:val="22"/>
        </w:rPr>
        <w:t xml:space="preserve">Conduct annual security awareness refresher training for all workforce members</w:t>
      </w:r>
    </w:p>
    <w:p>
      <w:pPr>
        <w:pStyle w:val="ListParagraph"/>
        <w:numPr>
          <w:ilvl w:val="0"/>
          <w:numId w:val="2"/>
        </w:numPr>
        <w:spacing w:after="40" w:before="40"/>
      </w:pPr>
      <w:r>
        <w:rPr>
          <w:rFonts w:ascii="Arial" w:cs="Arial" w:eastAsia="Arial" w:hAnsi="Arial"/>
          <w:sz w:val="22"/>
          <w:szCs w:val="22"/>
        </w:rPr>
        <w:t xml:space="preserve">Repeat this Risk Analysis annually or after any significant system change, breach, or change in scope</w:t>
      </w:r>
    </w:p>
    <w:p>
      <w:r>
        <w:br w:type="page"/>
      </w:r>
    </w:p>
    <w:p>
      <w:pPr>
        <w:pStyle w:val="Heading1"/>
        <w:spacing w:after="120" w:before="240"/>
      </w:pPr>
      <w:r>
        <w:rPr>
          <w:b/>
          <w:bCs/>
        </w:rPr>
        <w:t xml:space="preserve">9. Conclusion</w:t>
      </w:r>
    </w:p>
    <w:p>
      <w:pPr>
        <w:spacing w:after="80" w:before="60"/>
        <w:jc w:val="left"/>
      </w:pPr>
      <w:r>
        <w:rPr>
          <w:rFonts w:ascii="Arial" w:cs="Arial" w:eastAsia="Arial" w:hAnsi="Arial"/>
          <w:b w:val="false"/>
          <w:bCs w:val="false"/>
          <w:i w:val="false"/>
          <w:iCs w:val="false"/>
          <w:sz w:val="22"/>
          <w:szCs w:val="22"/>
        </w:rPr>
        <w:t xml:space="preserve">Valiant Direct Primary Care has implemented a meaningful technical foundation for ePHI security in its custom EMR platform, including encrypted transmission, role-based access control, comprehensive audit logging, JWT-based authentication, and patient consent tracking. These controls demonstrate a genuine commitment to protecting patient information.</w:t>
      </w:r>
    </w:p>
    <w:p>
      <w:pPr>
        <w:spacing w:after="80" w:before="60"/>
        <w:jc w:val="left"/>
      </w:pPr>
      <w:r>
        <w:rPr>
          <w:rFonts w:ascii="Arial" w:cs="Arial" w:eastAsia="Arial" w:hAnsi="Arial"/>
          <w:b w:val="false"/>
          <w:bCs w:val="false"/>
          <w:i w:val="false"/>
          <w:iCs w:val="false"/>
          <w:sz w:val="22"/>
          <w:szCs w:val="22"/>
        </w:rPr>
        <w:t xml:space="preserve">However, this Risk Analysis has identified several HIGH-priority gaps — most critically the absence of signed Business Associate Agreements with cloud and telecommunications vendors — that represent immediate legal exposure under the HIPAA Security Rule. These must be addressed before any other remediation work.</w:t>
      </w:r>
    </w:p>
    <w:p>
      <w:pPr>
        <w:spacing w:after="80" w:before="60"/>
        <w:jc w:val="left"/>
      </w:pPr>
      <w:r>
        <w:rPr>
          <w:rFonts w:ascii="Arial" w:cs="Arial" w:eastAsia="Arial" w:hAnsi="Arial"/>
          <w:b w:val="false"/>
          <w:bCs w:val="false"/>
          <w:i w:val="false"/>
          <w:iCs w:val="false"/>
          <w:sz w:val="22"/>
          <w:szCs w:val="22"/>
        </w:rPr>
        <w:t xml:space="preserve">Upon completion of the Phase 1 remediation actions, the practice's overall risk posture will improve materially. The subsequent phases address the remaining technical and administrative gaps in a manner proportionate to the size and complexity of a Direct Primary Care practice.</w:t>
      </w:r>
    </w:p>
    <w:p>
      <w:pPr>
        <w:spacing w:after="80" w:before="60"/>
        <w:jc w:val="left"/>
      </w:pPr>
      <w:r>
        <w:rPr>
          <w:rFonts w:ascii="Arial" w:cs="Arial" w:eastAsia="Arial" w:hAnsi="Arial"/>
          <w:b w:val="false"/>
          <w:bCs w:val="false"/>
          <w:i w:val="false"/>
          <w:iCs w:val="false"/>
          <w:sz w:val="22"/>
          <w:szCs w:val="22"/>
        </w:rPr>
        <w:t xml:space="preserve">This document should be reviewed and updated no less than annually and immediately following any security incident, material system change, or addition of new vendors with access to ePHI. It should be retained for a minimum of six years from the date of creation (45 C.F.R. § 164.316(b)(2)).</w:t>
      </w:r>
    </w:p>
    <w:p>
      <w:pPr>
        <w:spacing w:after="0" w:before="0"/>
      </w:pPr>
      <w:r>
        <w:t xml:space="preserve"/>
      </w:r>
    </w:p>
    <w:p>
      <w:pPr>
        <w:pBdr>
          <w:bottom w:val="single" w:color="1E3A5F" w:sz="12"/>
        </w:pBdr>
        <w:spacing w:after="80" w:before="80"/>
      </w:pPr>
      <w:r>
        <w:t xml:space="preserve"/>
      </w:r>
    </w:p>
    <w:p>
      <w:pPr>
        <w:spacing w:after="80" w:before="60"/>
        <w:jc w:val="left"/>
      </w:pPr>
      <w:r>
        <w:rPr>
          <w:rFonts w:ascii="Arial" w:cs="Arial" w:eastAsia="Arial" w:hAnsi="Arial"/>
          <w:b w:val="false"/>
          <w:bCs w:val="false"/>
          <w:i/>
          <w:iCs/>
          <w:sz w:val="22"/>
          <w:szCs w:val="22"/>
        </w:rPr>
        <w:t xml:space="preserve">This Risk Analysis has been prepared for internal use by Valiant Direct Primary Care. It is confidential and subject to attorney-client privilege to the extent review was conducted under the direction of legal counsel. This document does not constitute legal advice. The practice should consult a qualified HIPAA attorney or certified compliance professional for legal interpretation of HIPAA requirements.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false"/>
        </w:trPr>
        <w:tc>
          <w:tcPr>
            <w:tcW w:type="dxa" w:w="46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Prepared by</w:t>
            </w:r>
          </w:p>
        </w:tc>
        <w:tc>
          <w:tcPr>
            <w:tcW w:type="dxa" w:w="46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Approved by</w:t>
            </w:r>
          </w:p>
        </w:tc>
      </w:tr>
      <w:tr>
        <w:trPr>
          <w:tblHeader w:val="false"/>
        </w:trP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MedFlow EMR — System Review
March 19, 2026</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Practice Administrator / Privacy Officer
_______________________________</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right" w:pos="8640"/>
      </w:tabs>
      <w:spacing w:after="0" w:before="80"/>
    </w:pPr>
    <w:r>
      <w:rPr>
        <w:rFonts w:ascii="Arial" w:cs="Arial" w:eastAsia="Arial" w:hAnsi="Arial"/>
        <w:color w:val="94A3B8"/>
        <w:sz w:val="16"/>
        <w:szCs w:val="16"/>
      </w:rPr>
      <w:t xml:space="preserve">March 19, 2026 · Version 1.0</w:t>
    </w:r>
    <w:r>
      <w:rPr>
        <w:rFonts w:ascii="Arial" w:cs="Arial" w:eastAsia="Arial" w:hAnsi="Arial"/>
        <w:color w:val="94A3B8"/>
        <w:sz w:val="16"/>
        <w:szCs w:val="16"/>
      </w:rPr>
      <w:t xml:space="preserve">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pBdr>
      <w:tabs>
        <w:tab w:val="right" w:pos="8640"/>
      </w:tabs>
      <w:spacing w:after="80" w:before="0"/>
    </w:pPr>
    <w:r>
      <w:rPr>
        <w:rFonts w:ascii="Arial" w:cs="Arial" w:eastAsia="Arial" w:hAnsi="Arial"/>
        <w:b/>
        <w:bCs/>
        <w:color w:val="1E3A5F"/>
        <w:sz w:val="18"/>
        <w:szCs w:val="18"/>
      </w:rPr>
      <w:t xml:space="preserve">Valiant Direct Primary Care — HIPAA Risk Analysis</w:t>
    </w:r>
    <w:r>
      <w:rPr>
        <w:rFonts w:ascii="Arial" w:cs="Arial" w:eastAsia="Arial" w:hAnsi="Arial"/>
        <w:b/>
        <w:bCs/>
        <w:color w:val="DC262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A5F" w:sz="6"/>
      </w:pBdr>
      <w:spacing w:after="160" w:before="32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2026-03-20T03:38:58.898Z</dcterms:created>
  <dcterms:modified xsi:type="dcterms:W3CDTF">2026-03-20T03:38:58.898Z</dcterms:modified>
</cp:coreProperties>
</file>

<file path=docProps/custom.xml><?xml version="1.0" encoding="utf-8"?>
<Properties xmlns="http://schemas.openxmlformats.org/officeDocument/2006/custom-properties" xmlns:vt="http://schemas.openxmlformats.org/officeDocument/2006/docPropsVTypes"/>
</file>