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w:t>
      </w:r>
      <w:r>
        <w:t xml:space="preserve"> (</w:t>
      </w:r>
      <w:r>
        <w:t xml:space="preserve">Codi</w:t>
      </w:r>
      <w:r>
        <w:t xml:space="preserve">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w:t>
      </w:r>
      <w:r>
        <w:t xml:space="preserve">document</w:t>
      </w:r>
      <w:r>
        <w:t xml:space="preserve">en </w:t>
      </w:r>
      <w:r>
        <w:t xml:space="preserve">k</w:t>
      </w:r>
      <w:r>
        <w:t xml:space="preserve">unnen</w:t>
      </w:r>
      <w:r>
        <w:t xml:space="preserve"> geraadpleegd worden </w:t>
      </w:r>
      <w:r>
        <w:t xml:space="preserve">op </w:t>
      </w:r>
      <w:r>
        <w:t xml:space="preserve">intradesk</w:t>
      </w:r>
      <w:r>
        <w:t xml:space="preserve"> bij</w:t>
      </w:r>
      <w:r>
        <w:t xml:space="preserve"> ‘</w:t>
      </w:r>
      <w:r>
        <w:t xml:space="preserve">Werkgroep Statistieken personeel en studenten HBO’.</w:t>
      </w:r>
      <w:r>
        <w:br w:type="page"/>
      </w:r>
    </w:p>
    <w:p>
      <w:pPr>
        <w:pStyle w:val="Heading1"/>
        <w:rPr/>
      </w:pPr>
      <w:bookmarkStart w:id="1" w:name="_Toc24630424"/>
      <w:r>
        <w:t xml:space="preserve">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bookmarkEnd w:id="2"/>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bookmarkEnd w:id="3"/>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bookmarkStart w:id="10" w:name="_Toc24630428"/>
      <w:r>
        <w:t xml:space="preserve">Drop-outs tijdens de modul</w:t>
      </w:r>
      <w:bookmarkEnd w:id="10"/>
      <w:r w:rsidR="00FB5A13">
        <w:rPr/>
        <w:t xml:space="preserve">e</w:t>
      </w:r>
      <w:r>
        <w:rPr/>
        <w:br/>
      </w:r>
    </w:p>
    <w:tbl>
      <w:tblPr>
        <w:tblStyle w:val="TableGrid"/>
        <w:tblW w:w="0" w:type="auto"/>
        <w:tblInd w:w="709" w:type="dxa"/>
        <w:tblLook w:val="04A0" w:firstRow="1" w:lastRow="0" w:firstColumn="1" w:lastColumn="0" w:noHBand="0" w:noVBand="1"/>
      </w:tblPr>
      <w:tblGrid>
        <w:gridCol w:w="13283"/>
      </w:tblGrid>
      <w:tr w:rsidTr="00FB5A13">
        <w:trPr/>
        <w:tc>
          <w:tcPr>
            <w:tcW w:w="13992" w:type="dxa"/>
          </w:tcPr>
          <w:p>
            <w:pPr>
              <w:pStyle w:val="Heading2"/>
              <w:numPr>
                <w:ilvl w:val="0"/>
                <w:numId w:val="0"/>
              </w:numPr>
              <w:outlineLvl w:val="1"/>
              <w:rPr/>
            </w:pPr>
            <w:bookmarkStart w:id="11" w:name="Dropout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Module</w:t>
                  </w:r>
                </w:p>
              </w:tc>
              <w:tc>
                <w:tcPr>
                  <w:tcW w:w="2268" w:type="dxa"/>
                </w:tcPr>
                <w:p>
                  <w:pPr>
                    <w:pBdr/>
                    <w:rPr/>
                  </w:pPr>
                  <w:r>
                    <w:rPr/>
                    <w:t xml:space="preserve">Aantal </w:t>
                  </w:r>
                </w:p>
              </w:tc>
              <w:tc>
                <w:tcPr>
                  <w:tcW w:w="2268" w:type="dxa"/>
                </w:tcPr>
                <w:p>
                  <w:pPr>
                    <w:pBdr/>
                    <w:rPr/>
                  </w:pPr>
                  <w:r>
                    <w:rPr/>
                    <w:t xml:space="preserve">Maand</w:t>
                  </w:r>
                </w:p>
              </w:tc>
              <w:tc>
                <w:tcPr>
                  <w:tcW w:w="2268" w:type="dxa"/>
                </w:tcPr>
                <w:p>
                  <w:pPr>
                    <w:pBdr/>
                    <w:rPr/>
                  </w:pPr>
                  <w:r>
                    <w:rPr/>
                    <w:t xml:space="preserve">Jaar</w:t>
                  </w:r>
                </w:p>
              </w:tc>
            </w:tr>
            <w:tr>
              <w:trPr/>
              <w:tc>
                <w:tcPr>
                  <w:tcW w:w="2268" w:type="dxa"/>
                  <w:tcBorders/>
                </w:tcPr>
                <w:p>
                  <w:pPr>
                    <w:pBdr/>
                    <w:rPr/>
                  </w:pPr>
                  <w:r>
                    <w:rPr/>
                    <w:t xml:space="preserve">Module Initiatie verpleegkunde (20 weken)</w:t>
                  </w:r>
                </w:p>
              </w:tc>
              <w:tc>
                <w:tcPr>
                  <w:tcW w:w="2268" w:type="dxa"/>
                  <w:tcBorders/>
                </w:tcPr>
                <w:p>
                  <w:pPr>
                    <w:pBdr/>
                    <w:rPr/>
                  </w:pPr>
                  <w:r>
                    <w:rPr/>
                    <w:t xml:space="preserve">37</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Initiatie verpleegkunde (20 weken)</w:t>
                  </w:r>
                </w:p>
              </w:tc>
              <w:tc>
                <w:tcPr>
                  <w:tcW w:w="2268" w:type="dxa"/>
                  <w:tcBorders/>
                </w:tcPr>
                <w:p>
                  <w:pPr>
                    <w:pBdr/>
                    <w:rPr/>
                  </w:pPr>
                  <w:r>
                    <w:rPr/>
                    <w:t xml:space="preserve">32</w:t>
                  </w:r>
                </w:p>
              </w:tc>
              <w:tc>
                <w:tcPr>
                  <w:tcW w:w="2268" w:type="dxa"/>
                  <w:tcBorders/>
                </w:tcPr>
                <w:p>
                  <w:pPr>
                    <w:pBdr/>
                    <w:rPr/>
                  </w:pPr>
                  <w:r>
                    <w:rPr/>
                    <w:t xml:space="preserve">2</w:t>
                  </w:r>
                </w:p>
              </w:tc>
              <w:tc>
                <w:tcPr>
                  <w:tcW w:w="2268" w:type="dxa"/>
                  <w:tcBorders/>
                </w:tcPr>
                <w:p>
                  <w:pPr>
                    <w:pBdr/>
                    <w:rPr/>
                  </w:pPr>
                  <w:r>
                    <w:rPr/>
                    <w:t xml:space="preserve">2019</w:t>
                  </w:r>
                </w:p>
              </w:tc>
            </w:tr>
            <w:tr>
              <w:trPr/>
              <w:tc>
                <w:tcPr>
                  <w:tcW w:w="2268" w:type="dxa"/>
                  <w:tcBorders/>
                </w:tcPr>
                <w:p>
                  <w:pPr>
                    <w:pBdr/>
                    <w:rPr/>
                  </w:pPr>
                  <w:r>
                    <w:rPr/>
                    <w:t xml:space="preserve">Module Initiatie verpleegkunde (20 weken)</w:t>
                  </w:r>
                </w:p>
              </w:tc>
              <w:tc>
                <w:tcPr>
                  <w:tcW w:w="2268" w:type="dxa"/>
                  <w:tcBorders/>
                </w:tcPr>
                <w:p>
                  <w:pPr>
                    <w:pBdr/>
                    <w:rPr/>
                  </w:pPr>
                  <w:r>
                    <w:rPr/>
                    <w:t xml:space="preserve">43</w:t>
                  </w:r>
                </w:p>
              </w:tc>
              <w:tc>
                <w:tcPr>
                  <w:tcW w:w="2268" w:type="dxa"/>
                  <w:tcBorders/>
                </w:tcPr>
                <w:p>
                  <w:pPr>
                    <w:pBdr/>
                    <w:rPr/>
                  </w:pPr>
                  <w:r>
                    <w:rPr/>
                    <w:t xml:space="preserve">9</w:t>
                  </w:r>
                </w:p>
              </w:tc>
              <w:tc>
                <w:tcPr>
                  <w:tcW w:w="2268" w:type="dxa"/>
                  <w:tcBorders/>
                </w:tcPr>
                <w:p>
                  <w:pPr>
                    <w:pBdr/>
                    <w:rPr/>
                  </w:pPr>
                  <w:r>
                    <w:rPr/>
                    <w:t xml:space="preserve">2017</w:t>
                  </w:r>
                </w:p>
              </w:tc>
            </w:tr>
            <w:tr>
              <w:trPr/>
              <w:tc>
                <w:tcPr>
                  <w:tcW w:w="2268" w:type="dxa"/>
                  <w:tcBorders/>
                </w:tcPr>
                <w:p>
                  <w:pPr>
                    <w:pBdr/>
                    <w:rPr/>
                  </w:pPr>
                  <w:r>
                    <w:rPr/>
                    <w:t xml:space="preserve">Module Initiatie verpleegkunde (20 weken)</w:t>
                  </w:r>
                </w:p>
              </w:tc>
              <w:tc>
                <w:tcPr>
                  <w:tcW w:w="2268" w:type="dxa"/>
                  <w:tcBorders/>
                </w:tcPr>
                <w:p>
                  <w:pPr>
                    <w:pBdr/>
                    <w:rPr/>
                  </w:pPr>
                  <w:r>
                    <w:rPr/>
                    <w:t xml:space="preserve">34</w:t>
                  </w:r>
                </w:p>
              </w:tc>
              <w:tc>
                <w:tcPr>
                  <w:tcW w:w="2268" w:type="dxa"/>
                  <w:tcBorders/>
                </w:tcPr>
                <w:p>
                  <w:pPr>
                    <w:pBdr/>
                    <w:rPr/>
                  </w:pPr>
                  <w:r>
                    <w:rPr/>
                    <w:t xml:space="preserve">9</w:t>
                  </w:r>
                </w:p>
              </w:tc>
              <w:tc>
                <w:tcPr>
                  <w:tcW w:w="2268" w:type="dxa"/>
                  <w:tcBorders/>
                </w:tcPr>
                <w:p>
                  <w:pPr>
                    <w:pBdr/>
                    <w:rPr/>
                  </w:pPr>
                  <w:r>
                    <w:rPr/>
                    <w:t xml:space="preserve">2018</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57</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37</w:t>
                  </w:r>
                </w:p>
              </w:tc>
              <w:tc>
                <w:tcPr>
                  <w:tcW w:w="2268" w:type="dxa"/>
                  <w:tcBorders/>
                </w:tcPr>
                <w:p>
                  <w:pPr>
                    <w:pBdr/>
                    <w:rPr/>
                  </w:pPr>
                  <w:r>
                    <w:rPr/>
                    <w:t xml:space="preserve">2</w:t>
                  </w:r>
                </w:p>
              </w:tc>
              <w:tc>
                <w:tcPr>
                  <w:tcW w:w="2268" w:type="dxa"/>
                  <w:tcBorders/>
                </w:tcPr>
                <w:p>
                  <w:pPr>
                    <w:pBdr/>
                    <w:rPr/>
                  </w:pPr>
                  <w:r>
                    <w:rPr/>
                    <w:t xml:space="preserve">2019</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4</w:t>
                  </w:r>
                </w:p>
              </w:tc>
              <w:tc>
                <w:tcPr>
                  <w:tcW w:w="2268" w:type="dxa"/>
                  <w:tcBorders/>
                </w:tcPr>
                <w:p>
                  <w:pPr>
                    <w:pBdr/>
                    <w:rPr/>
                  </w:pPr>
                  <w:r>
                    <w:rPr/>
                    <w:t xml:space="preserve">9</w:t>
                  </w:r>
                </w:p>
              </w:tc>
              <w:tc>
                <w:tcPr>
                  <w:tcW w:w="2268" w:type="dxa"/>
                  <w:tcBorders/>
                </w:tcPr>
                <w:p>
                  <w:pPr>
                    <w:pBdr/>
                    <w:rPr/>
                  </w:pPr>
                  <w:r>
                    <w:rPr/>
                    <w:t xml:space="preserve">2017</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10</w:t>
                  </w:r>
                </w:p>
              </w:tc>
              <w:tc>
                <w:tcPr>
                  <w:tcW w:w="2268" w:type="dxa"/>
                  <w:tcBorders/>
                </w:tcPr>
                <w:p>
                  <w:pPr>
                    <w:pBdr/>
                    <w:rPr/>
                  </w:pPr>
                  <w:r>
                    <w:rPr/>
                    <w:t xml:space="preserve">9</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31</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29</w:t>
                  </w:r>
                </w:p>
              </w:tc>
              <w:tc>
                <w:tcPr>
                  <w:tcW w:w="2268" w:type="dxa"/>
                  <w:tcBorders/>
                </w:tcPr>
                <w:p>
                  <w:pPr>
                    <w:pBdr/>
                    <w:rPr/>
                  </w:pPr>
                  <w:r>
                    <w:rPr/>
                    <w:t xml:space="preserve">2</w:t>
                  </w:r>
                </w:p>
              </w:tc>
              <w:tc>
                <w:tcPr>
                  <w:tcW w:w="2268" w:type="dxa"/>
                  <w:tcBorders/>
                </w:tcPr>
                <w:p>
                  <w:pPr>
                    <w:pBdr/>
                    <w:rPr/>
                  </w:pPr>
                  <w:r>
                    <w:rPr/>
                    <w:t xml:space="preserve">2019</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1</w:t>
                  </w:r>
                </w:p>
              </w:tc>
              <w:tc>
                <w:tcPr>
                  <w:tcW w:w="2268" w:type="dxa"/>
                  <w:tcBorders/>
                </w:tcPr>
                <w:p>
                  <w:pPr>
                    <w:pBdr/>
                    <w:rPr/>
                  </w:pPr>
                  <w:r>
                    <w:rPr/>
                    <w:t xml:space="preserve">3</w:t>
                  </w:r>
                </w:p>
              </w:tc>
              <w:tc>
                <w:tcPr>
                  <w:tcW w:w="2268" w:type="dxa"/>
                  <w:tcBorders/>
                </w:tcPr>
                <w:p>
                  <w:pPr>
                    <w:pBdr/>
                    <w:rPr/>
                  </w:pPr>
                  <w:r>
                    <w:rPr/>
                    <w:t xml:space="preserve">2019</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7</w:t>
                  </w:r>
                </w:p>
              </w:tc>
              <w:tc>
                <w:tcPr>
                  <w:tcW w:w="2268" w:type="dxa"/>
                  <w:tcBorders/>
                </w:tcPr>
                <w:p>
                  <w:pPr>
                    <w:pBdr/>
                    <w:rPr/>
                  </w:pPr>
                  <w:r>
                    <w:rPr/>
                    <w:t xml:space="preserve">9</w:t>
                  </w:r>
                </w:p>
              </w:tc>
              <w:tc>
                <w:tcPr>
                  <w:tcW w:w="2268" w:type="dxa"/>
                  <w:tcBorders/>
                </w:tcPr>
                <w:p>
                  <w:pPr>
                    <w:pBdr/>
                    <w:rPr/>
                  </w:pPr>
                  <w:r>
                    <w:rPr/>
                    <w:t xml:space="preserve">2017</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4</w:t>
                  </w:r>
                </w:p>
              </w:tc>
              <w:tc>
                <w:tcPr>
                  <w:tcW w:w="2268" w:type="dxa"/>
                  <w:tcBorders/>
                </w:tcPr>
                <w:p>
                  <w:pPr>
                    <w:pBdr/>
                    <w:rPr/>
                  </w:pPr>
                  <w:r>
                    <w:rPr/>
                    <w:t xml:space="preserve">9</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1</w:t>
                  </w:r>
                </w:p>
              </w:tc>
              <w:tc>
                <w:tcPr>
                  <w:tcW w:w="2268" w:type="dxa"/>
                  <w:tcBorders/>
                </w:tcPr>
                <w:p>
                  <w:pPr>
                    <w:pBdr/>
                    <w:rPr/>
                  </w:pPr>
                  <w:r>
                    <w:rPr/>
                    <w:t xml:space="preserve">10</w:t>
                  </w:r>
                </w:p>
              </w:tc>
              <w:tc>
                <w:tcPr>
                  <w:tcW w:w="2268" w:type="dxa"/>
                  <w:tcBorders/>
                </w:tcPr>
                <w:p>
                  <w:pPr>
                    <w:pBdr/>
                    <w:rPr/>
                  </w:pPr>
                  <w:r>
                    <w:rPr/>
                    <w:t xml:space="preserve">2017</w:t>
                  </w:r>
                </w:p>
              </w:tc>
            </w:tr>
            <w:tr>
              <w:trPr/>
              <w:tc>
                <w:tcPr>
                  <w:tcW w:w="2268" w:type="dxa"/>
                  <w:tcBorders/>
                </w:tcPr>
                <w:p>
                  <w:pPr>
                    <w:pBdr/>
                    <w:rPr/>
                  </w:pPr>
                  <w:r>
                    <w:rPr/>
                    <w:t xml:space="preserve">Module Toegepaste verpleegkunde (40 weken)</w:t>
                  </w:r>
                </w:p>
              </w:tc>
              <w:tc>
                <w:tcPr>
                  <w:tcW w:w="2268" w:type="dxa"/>
                  <w:tcBorders/>
                </w:tcPr>
                <w:p>
                  <w:pPr>
                    <w:pBdr/>
                    <w:rPr/>
                  </w:pPr>
                  <w:r>
                    <w:rPr/>
                    <w:t xml:space="preserve">33</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Toegepaste verpleegkunde (40 weken)</w:t>
                  </w:r>
                </w:p>
              </w:tc>
              <w:tc>
                <w:tcPr>
                  <w:tcW w:w="2268" w:type="dxa"/>
                  <w:tcBorders/>
                </w:tcPr>
                <w:p>
                  <w:pPr>
                    <w:pBdr/>
                    <w:rPr/>
                  </w:pPr>
                  <w:r>
                    <w:rPr/>
                    <w:t xml:space="preserve">27</w:t>
                  </w:r>
                </w:p>
              </w:tc>
              <w:tc>
                <w:tcPr>
                  <w:tcW w:w="2268" w:type="dxa"/>
                  <w:tcBorders/>
                </w:tcPr>
                <w:p>
                  <w:pPr>
                    <w:pBdr/>
                    <w:rPr/>
                  </w:pPr>
                  <w:r>
                    <w:rPr/>
                    <w:t xml:space="preserve">2</w:t>
                  </w:r>
                </w:p>
              </w:tc>
              <w:tc>
                <w:tcPr>
                  <w:tcW w:w="2268" w:type="dxa"/>
                  <w:tcBorders/>
                </w:tcPr>
                <w:p>
                  <w:pPr>
                    <w:pBdr/>
                    <w:rPr/>
                  </w:pPr>
                  <w:r>
                    <w:rPr/>
                    <w:t xml:space="preserve">2019</w:t>
                  </w:r>
                </w:p>
              </w:tc>
            </w:tr>
            <w:tr>
              <w:trPr/>
              <w:tc>
                <w:tcPr>
                  <w:tcW w:w="2268" w:type="dxa"/>
                  <w:tcBorders/>
                </w:tcPr>
                <w:p>
                  <w:pPr>
                    <w:pBdr/>
                    <w:rPr/>
                  </w:pPr>
                  <w:r>
                    <w:rPr/>
                    <w:t xml:space="preserve">Module Toegepaste verpleegkunde (40 weken)</w:t>
                  </w:r>
                </w:p>
              </w:tc>
              <w:tc>
                <w:tcPr>
                  <w:tcW w:w="2268" w:type="dxa"/>
                  <w:tcBorders/>
                </w:tcPr>
                <w:p>
                  <w:pPr>
                    <w:pBdr/>
                    <w:rPr/>
                  </w:pPr>
                  <w:r>
                    <w:rPr/>
                    <w:t xml:space="preserve">89</w:t>
                  </w:r>
                </w:p>
              </w:tc>
              <w:tc>
                <w:tcPr>
                  <w:tcW w:w="2268" w:type="dxa"/>
                  <w:tcBorders/>
                </w:tcPr>
                <w:p>
                  <w:pPr>
                    <w:pBdr/>
                    <w:rPr/>
                  </w:pPr>
                  <w:r>
                    <w:rPr/>
                    <w:t xml:space="preserve">9</w:t>
                  </w:r>
                </w:p>
              </w:tc>
              <w:tc>
                <w:tcPr>
                  <w:tcW w:w="2268" w:type="dxa"/>
                  <w:tcBorders/>
                </w:tcPr>
                <w:p>
                  <w:pPr>
                    <w:pBdr/>
                    <w:rPr/>
                  </w:pPr>
                  <w:r>
                    <w:rPr/>
                    <w:t xml:space="preserve">2017</w:t>
                  </w:r>
                </w:p>
              </w:tc>
            </w:tr>
            <w:tr>
              <w:trPr/>
              <w:tc>
                <w:tcPr>
                  <w:tcW w:w="2268" w:type="dxa"/>
                  <w:tcBorders/>
                </w:tcPr>
                <w:p>
                  <w:pPr>
                    <w:pBdr/>
                    <w:rPr/>
                  </w:pPr>
                  <w:r>
                    <w:rPr/>
                    <w:t xml:space="preserve">Module Toegepaste verpleegkunde (40 weken)</w:t>
                  </w:r>
                </w:p>
              </w:tc>
              <w:tc>
                <w:tcPr>
                  <w:tcW w:w="2268" w:type="dxa"/>
                  <w:tcBorders/>
                </w:tcPr>
                <w:p>
                  <w:pPr>
                    <w:pBdr/>
                    <w:rPr/>
                  </w:pPr>
                  <w:r>
                    <w:rPr/>
                    <w:t xml:space="preserve">86</w:t>
                  </w:r>
                </w:p>
              </w:tc>
              <w:tc>
                <w:tcPr>
                  <w:tcW w:w="2268" w:type="dxa"/>
                  <w:tcBorders/>
                </w:tcPr>
                <w:p>
                  <w:pPr>
                    <w:pBdr/>
                    <w:rPr/>
                  </w:pPr>
                  <w:r>
                    <w:rPr/>
                    <w:t xml:space="preserve">9</w:t>
                  </w:r>
                </w:p>
              </w:tc>
              <w:tc>
                <w:tcPr>
                  <w:tcW w:w="2268" w:type="dxa"/>
                  <w:tcBorders/>
                </w:tcPr>
                <w:p>
                  <w:pPr>
                    <w:pBdr/>
                    <w:rPr/>
                  </w:pPr>
                  <w:r>
                    <w:rPr/>
                    <w:t xml:space="preserve">2018</w:t>
                  </w:r>
                </w:p>
              </w:tc>
            </w:tr>
            <w:tr>
              <w:trPr/>
              <w:tc>
                <w:tcPr>
                  <w:tcW w:w="2268" w:type="dxa"/>
                  <w:tcBorders/>
                </w:tcPr>
                <w:p>
                  <w:pPr>
                    <w:pBdr/>
                    <w:rPr/>
                  </w:pPr>
                  <w:r>
                    <w:rPr/>
                    <w:t xml:space="preserve">Module Verpleegkundige basiszorg (20 weken)</w:t>
                  </w:r>
                </w:p>
              </w:tc>
              <w:tc>
                <w:tcPr>
                  <w:tcW w:w="2268" w:type="dxa"/>
                  <w:tcBorders/>
                </w:tcPr>
                <w:p>
                  <w:pPr>
                    <w:pBdr/>
                    <w:rPr/>
                  </w:pPr>
                  <w:r>
                    <w:rPr/>
                    <w:t xml:space="preserve">48</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Verpleegkundige basiszorg (20 weken)</w:t>
                  </w:r>
                </w:p>
              </w:tc>
              <w:tc>
                <w:tcPr>
                  <w:tcW w:w="2268" w:type="dxa"/>
                  <w:tcBorders/>
                </w:tcPr>
                <w:p>
                  <w:pPr>
                    <w:pBdr/>
                    <w:rPr/>
                  </w:pPr>
                  <w:r>
                    <w:rPr/>
                    <w:t xml:space="preserve">62</w:t>
                  </w:r>
                </w:p>
              </w:tc>
              <w:tc>
                <w:tcPr>
                  <w:tcW w:w="2268" w:type="dxa"/>
                  <w:tcBorders/>
                </w:tcPr>
                <w:p>
                  <w:pPr>
                    <w:pBdr/>
                    <w:rPr/>
                  </w:pPr>
                  <w:r>
                    <w:rPr/>
                    <w:t xml:space="preserve">2</w:t>
                  </w:r>
                </w:p>
              </w:tc>
              <w:tc>
                <w:tcPr>
                  <w:tcW w:w="2268" w:type="dxa"/>
                  <w:tcBorders/>
                </w:tcPr>
                <w:p>
                  <w:pPr>
                    <w:pBdr/>
                    <w:rPr/>
                  </w:pPr>
                  <w:r>
                    <w:rPr/>
                    <w:t xml:space="preserve">2019</w:t>
                  </w:r>
                </w:p>
              </w:tc>
            </w:tr>
            <w:tr>
              <w:trPr/>
              <w:tc>
                <w:tcPr>
                  <w:tcW w:w="2268" w:type="dxa"/>
                  <w:tcBorders/>
                </w:tcPr>
                <w:p>
                  <w:pPr>
                    <w:pBdr/>
                    <w:rPr/>
                  </w:pPr>
                  <w:r>
                    <w:rPr/>
                    <w:t xml:space="preserve">Module Verpleegkundige basiszorg (20 weken)</w:t>
                  </w:r>
                </w:p>
              </w:tc>
              <w:tc>
                <w:tcPr>
                  <w:tcW w:w="2268" w:type="dxa"/>
                  <w:tcBorders/>
                </w:tcPr>
                <w:p>
                  <w:pPr>
                    <w:pBdr/>
                    <w:rPr/>
                  </w:pPr>
                  <w:r>
                    <w:rPr/>
                    <w:t xml:space="preserve">8</w:t>
                  </w:r>
                </w:p>
              </w:tc>
              <w:tc>
                <w:tcPr>
                  <w:tcW w:w="2268" w:type="dxa"/>
                  <w:tcBorders/>
                </w:tcPr>
                <w:p>
                  <w:pPr>
                    <w:pBdr/>
                    <w:rPr/>
                  </w:pPr>
                  <w:r>
                    <w:rPr/>
                    <w:t xml:space="preserve">9</w:t>
                  </w:r>
                </w:p>
              </w:tc>
              <w:tc>
                <w:tcPr>
                  <w:tcW w:w="2268" w:type="dxa"/>
                  <w:tcBorders/>
                </w:tcPr>
                <w:p>
                  <w:pPr>
                    <w:pBdr/>
                    <w:rPr/>
                  </w:pPr>
                  <w:r>
                    <w:rPr/>
                    <w:t xml:space="preserve">2017</w:t>
                  </w:r>
                </w:p>
              </w:tc>
            </w:tr>
            <w:tr>
              <w:trPr/>
              <w:tc>
                <w:tcPr>
                  <w:tcW w:w="2268" w:type="dxa"/>
                  <w:tcBorders/>
                </w:tcPr>
                <w:p>
                  <w:pPr>
                    <w:pBdr/>
                    <w:rPr/>
                  </w:pPr>
                  <w:r>
                    <w:rPr/>
                    <w:t xml:space="preserve">Module Verpleegkundige basiszorg (20 weken)</w:t>
                  </w:r>
                </w:p>
              </w:tc>
              <w:tc>
                <w:tcPr>
                  <w:tcW w:w="2268" w:type="dxa"/>
                  <w:tcBorders/>
                </w:tcPr>
                <w:p>
                  <w:pPr>
                    <w:pBdr/>
                    <w:rPr/>
                  </w:pPr>
                  <w:r>
                    <w:rPr/>
                    <w:t xml:space="preserve">8</w:t>
                  </w:r>
                </w:p>
              </w:tc>
              <w:tc>
                <w:tcPr>
                  <w:tcW w:w="2268" w:type="dxa"/>
                  <w:tcBorders/>
                </w:tcPr>
                <w:p>
                  <w:pPr>
                    <w:pBdr/>
                    <w:rPr/>
                  </w:pPr>
                  <w:r>
                    <w:rPr/>
                    <w:t xml:space="preserve">9</w:t>
                  </w:r>
                </w:p>
              </w:tc>
              <w:tc>
                <w:tcPr>
                  <w:tcW w:w="2268" w:type="dxa"/>
                  <w:tcBorders/>
                </w:tcPr>
                <w:p>
                  <w:pPr>
                    <w:pBdr/>
                    <w:rPr/>
                  </w:pPr>
                  <w:r>
                    <w:rPr/>
                    <w:t xml:space="preserve">2018</w:t>
                  </w:r>
                </w:p>
              </w:tc>
            </w:tr>
          </w:tbl>
          <w:p>
            <w:pPr/>
          </w:p>
        </w:tc>
      </w:tr>
    </w:tbl>
    <w:p>
      <w:pPr>
        <w:pStyle w:val="Heading2"/>
        <w:r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2" w:name="_Toc24630429"/>
      <w:r>
        <w:t xml:space="preserve">Rendement toetsing</w:t>
      </w:r>
      <w:bookmarkEnd w:id="12"/>
    </w:p>
    <w:p>
      <w:pPr>
        <w:pStyle w:val="Heading2"/>
        <w:rPr/>
      </w:pPr>
      <w:bookmarkStart w:id="13" w:name="_Toc24630430"/>
      <w:r>
        <w:t xml:space="preserve">Slaagpercentages per module</w:t>
      </w:r>
      <w:bookmarkEnd w:id="13"/>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bookmarkStart w:id="14" w:name="Slaagpercentage"/>
            <w:bookmarkEnd w:id="14"/>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w:t>
      </w:r>
      <w:r w:rsidRPr="00B95C9D">
        <w:rPr>
          <w:b/>
          <w:bCs/>
        </w:rPr>
        <w:t xml:space="preserve">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5" w:name="GeslaagdDeelnameToetsen"/>
            <w:bookmarkEnd w:id="15"/>
          </w:p>
        </w:tc>
      </w:tr>
    </w:tbl>
    <w:p>
      <w:pPr>
        <w:spacing w:after="0"/>
        <w:rPr>
          <w:b/>
        </w:rPr>
      </w:pPr>
    </w:p>
    <w:p>
      <w:pPr>
        <w:pStyle w:val="Heading2"/>
        <w:rPr/>
      </w:pPr>
      <w:bookmarkStart w:id="16" w:name="_Toc24630431"/>
      <w:r>
        <w:t xml:space="preserve">Hernemen modules</w:t>
      </w:r>
      <w:bookmarkEnd w:id="16"/>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7" w:name="ModuleHernemenSem1"/>
                  <w:bookmarkEnd w:id="17"/>
                </w:p>
              </w:tc>
            </w:tr>
          </w:tbl>
          <w:p>
            <w:pPr>
              <w:rPr/>
            </w:pPr>
          </w:p>
        </w:tc>
      </w:tr>
      <w:tr w:rsidTr="00AE5AF2">
        <w:trPr>
          <w:trHeight w:val="2154"/>
        </w:trPr>
        <w:tc>
          <w:tcPr>
            <w:tcW w:w="4819" w:type="dxa"/>
            <w:shd w:val="clear" w:color="auto" w:fill="auto"/>
          </w:tcPr>
          <w:p>
            <w:pPr>
              <w:rPr/>
            </w:pPr>
            <w:bookmarkStart w:id="18" w:name="ModuleHernemenSem2"/>
            <w:bookmarkEnd w:id="18"/>
          </w:p>
        </w:tc>
      </w:tr>
    </w:tbl>
    <w:p>
      <w:pPr>
        <w:rPr/>
      </w:pPr>
    </w:p>
    <w:p>
      <w:pPr>
        <w:pStyle w:val="Heading2"/>
        <w:rPr/>
      </w:pPr>
      <w:bookmarkStart w:id="19" w:name="_Toc24630432"/>
      <w:r>
        <w:t xml:space="preserve">Aantal afgestudeerde studenten</w:t>
      </w:r>
      <w:bookmarkEnd w:id="19"/>
    </w:p>
    <w:p>
      <w:pPr>
        <w:pStyle w:val="Heading3"/>
        <w:rPr/>
      </w:pPr>
      <w:bookmarkStart w:id="20" w:name="_Toc24630433"/>
      <w:r w:rsidRPr="0086732F">
        <w:rPr/>
        <w:t xml:space="preserve">Herkomst afgestudeerde studenten</w:t>
      </w:r>
      <w:bookmarkEnd w:id="20"/>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1" w:name="HerkomstAfgestudeerdeStudent"/>
            <w:bookmarkEnd w:id="21"/>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2" w:name="_Toc24630434"/>
      <w:r w:rsidRPr="0088790A">
        <w:rPr/>
        <w:t xml:space="preserve">Vergelijking instr</w:t>
      </w:r>
      <w:r>
        <w:t xml:space="preserve">oom IV en </w:t>
      </w:r>
      <w:r w:rsidRPr="0088790A">
        <w:rPr/>
        <w:t xml:space="preserve">uitstroom TV</w:t>
      </w:r>
      <w:bookmarkEnd w:id="22"/>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3" w:name="VergelijkingInstroomUitstroom"/>
            <w:bookmarkEnd w:id="23"/>
          </w:p>
        </w:tc>
      </w:tr>
    </w:tbl>
    <w:p>
      <w:pPr>
        <w:pStyle w:val="Heading3"/>
        <w:numPr>
          <w:ilvl w:val="0"/>
          <w:numId w:val="0"/>
        </w:numPr>
        <w:ind w:left="1134"/>
        <w:rPr/>
      </w:pPr>
    </w:p>
    <w:p>
      <w:pPr>
        <w:pStyle w:val="Heading2"/>
        <w:rPr/>
      </w:pPr>
      <w:bookmarkStart w:id="24" w:name="_Toc24630435"/>
      <w:r>
        <w:t xml:space="preserve">Gemiddelde duur </w:t>
      </w:r>
      <w:commentRangeStart w:id="25"/>
      <w:commentRangeStart w:id="26"/>
      <w:commentRangeStart w:id="27"/>
      <w:commentRangeStart w:id="28"/>
      <w:r>
        <w:t xml:space="preserve">opleiding</w:t>
      </w:r>
      <w:bookmarkEnd w:id="24"/>
      <w:commentRangeEnd w:id="25"/>
      <w:r w:rsidR="003A42EB">
        <w:rPr>
          <w:b w:val="0"/>
          <w:color w:val="auto"/>
          <w:u w:val="none"/>
        </w:rPr>
        <w:commentReference w:id="25"/>
      </w:r>
      <w:commentRangeEnd w:id="26"/>
      <w:r w:rsidR="003A42EB">
        <w:rPr>
          <w:b w:val="0"/>
          <w:color w:val="auto"/>
          <w:u w:val="none"/>
        </w:rPr>
        <w:commentReference w:id="26"/>
      </w:r>
      <w:commentRangeEnd w:id="27"/>
      <w:r w:rsidR="003A42EB">
        <w:rPr>
          <w:b w:val="0"/>
          <w:color w:val="auto"/>
          <w:u w:val="none"/>
        </w:rPr>
        <w:commentReference w:id="27"/>
      </w:r>
      <w:commentRangeEnd w:id="28"/>
      <w:r w:rsidR="003A42EB">
        <w:rPr>
          <w:b w:val="0"/>
          <w:color w:val="auto"/>
          <w:u w:val="none"/>
        </w:rPr>
        <w:commentReference w:id="28"/>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29" w:name="GemiddeldeDuur"/>
            <w:bookmarkEnd w:id="29"/>
          </w:p>
        </w:tc>
      </w:tr>
    </w:tbl>
    <w:p>
      <w:pPr>
        <w:rPr/>
      </w:pPr>
    </w:p>
    <w:p>
      <w:pPr>
        <w:rPr/>
      </w:pPr>
    </w:p>
    <w:p>
      <w:pPr>
        <w:pStyle w:val="Heading1"/>
        <w:rPr/>
      </w:pPr>
      <w:bookmarkStart w:id="30" w:name="_Toc24630436"/>
      <w:r>
        <w:t xml:space="preserve">V</w:t>
      </w:r>
      <w:r w:rsidRPr="00927B43">
        <w:rPr/>
        <w:t xml:space="preserve">erzuimcijfers</w:t>
      </w:r>
      <w:bookmarkEnd w:id="30"/>
    </w:p>
    <w:p>
      <w:pPr>
        <w:spacing w:after="0"/>
        <w:rPr/>
      </w:pPr>
      <w:r>
        <w:t xml:space="preserve">Vanuit </w:t>
      </w:r>
      <w:r>
        <w:t xml:space="preserve">Informat</w:t>
      </w:r>
      <w:r>
        <w:t xml:space="preserve">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1" w:name="VerzuimcijferAfwezigheden"/>
            <w:bookmarkEnd w:id="31"/>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bookmarkStart w:id="32" w:name="_GoBack"/>
      <w:bookmarkEnd w:id="32"/>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3" w:name="_Toc24630437"/>
      <w:r>
        <w:t xml:space="preserve">Spoedtelling 01/10/2018 – Katholiek Onderwijs Vlaanderen</w:t>
      </w:r>
      <w:bookmarkEnd w:id="33"/>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w:t>
            </w:r>
            <w:r w:rsidRPr="00540DF7">
              <w:rPr>
                <w:rFonts w:eastAsia="Times New Roman" w:cs="Times New Roman"/>
                <w:b/>
                <w:color w:val="595959"/>
                <w:sz w:val="16"/>
                <w:szCs w:val="16"/>
                <w:lang w:val="en-US" w:eastAsia="nl-BE"/>
              </w:rPr>
              <w:t xml:space="preserve"> campus Maria </w:t>
            </w:r>
            <w:r w:rsidRPr="00540DF7">
              <w:rPr>
                <w:rFonts w:eastAsia="Times New Roman" w:cs="Times New Roman"/>
                <w:b/>
                <w:color w:val="595959"/>
                <w:sz w:val="16"/>
                <w:szCs w:val="16"/>
                <w:lang w:val="en-US" w:eastAsia="nl-BE"/>
              </w:rPr>
              <w:t xml:space="preserve">Middelares</w:t>
            </w:r>
            <w:r w:rsidRPr="00540DF7">
              <w:rPr>
                <w:rFonts w:eastAsia="Times New Roman" w:cs="Times New Roman"/>
                <w:b/>
                <w:color w:val="595959"/>
                <w:sz w:val="16"/>
                <w:szCs w:val="16"/>
                <w:lang w:val="en-US"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w:t>
            </w:r>
            <w:r w:rsidRPr="00516013">
              <w:rPr>
                <w:rFonts w:eastAsia="Times New Roman" w:cs="Times New Roman"/>
                <w:b/>
                <w:color w:val="595959"/>
                <w:sz w:val="16"/>
                <w:szCs w:val="16"/>
                <w:lang w:eastAsia="nl-BE"/>
              </w:rPr>
              <w:t xml:space="preserve">Vincentius</w:t>
            </w:r>
            <w:r w:rsidRPr="00516013">
              <w:rPr>
                <w:rFonts w:eastAsia="Times New Roman" w:cs="Times New Roman"/>
                <w:b/>
                <w:color w:val="595959"/>
                <w:sz w:val="16"/>
                <w:szCs w:val="16"/>
                <w:lang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à</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4" w:name="_Toc24630438"/>
      <w:r>
        <w:t xml:space="preserve">Cijfermateriaal Departement Onderwijs</w:t>
      </w:r>
      <w:bookmarkEnd w:id="34"/>
    </w:p>
    <w:p>
      <w:pPr>
        <w:rPr/>
      </w:pPr>
      <w:r>
        <w:t xml:space="preserve">Deze cijfers werden ontvangen naar aanleiding van de ZER 15-16.  Niettegenstaande  verschillende pogingen via Katholiek Onderwijs Vlaanderen - </w:t>
      </w:r>
      <w:r>
        <w:t xml:space="preserve">Codi</w:t>
      </w:r>
      <w:r>
        <w:t xml:space="preserve">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w:t>
      </w:r>
      <w:r>
        <w:t xml:space="preserve">Codi</w:t>
      </w:r>
      <w:r>
        <w:t xml:space="preserve"> 07/11/2018 – </w:t>
      </w:r>
      <w:r>
        <w:t xml:space="preserve">intradesk</w:t>
      </w:r>
      <w:r>
        <w:t xml:space="preserve">: schoolwerkgroepen&gt;WG statistieken personeel en stud HBO&gt;01HBO </w:t>
      </w:r>
      <w:r>
        <w:t xml:space="preserve">Studgegeg</w:t>
      </w:r>
      <w:r>
        <w:t xml:space="preserve">&gt;18-19&gt;Extern).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Sociale en </w:t>
            </w:r>
            <w:r w:rsidRPr="00516013">
              <w:rPr>
                <w:rFonts w:eastAsia="Times New Roman" w:cs="Calibri"/>
                <w:b/>
                <w:color w:val="000000"/>
                <w:sz w:val="16"/>
                <w:szCs w:val="16"/>
                <w:lang w:eastAsia="nl-BE"/>
              </w:rPr>
              <w:t xml:space="preserve">techn</w:t>
            </w:r>
            <w:r w:rsidRPr="00516013">
              <w:rPr>
                <w:rFonts w:eastAsia="Times New Roman" w:cs="Calibri"/>
                <w:b/>
                <w:color w:val="000000"/>
                <w:sz w:val="16"/>
                <w:szCs w:val="16"/>
                <w:lang w:eastAsia="nl-BE"/>
              </w:rPr>
              <w:t xml:space="preserve">.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w:t>
            </w:r>
            <w:r w:rsidRPr="00516013">
              <w:rPr>
                <w:rFonts w:eastAsia="Times New Roman" w:cs="Calibri"/>
                <w:b/>
                <w:color w:val="000000"/>
                <w:sz w:val="16"/>
                <w:szCs w:val="16"/>
                <w:lang w:eastAsia="nl-BE"/>
              </w:rPr>
              <w:t xml:space="preserve">Gezondh</w:t>
            </w:r>
            <w:r w:rsidRPr="00516013">
              <w:rPr>
                <w:rFonts w:eastAsia="Times New Roman" w:cs="Calibri"/>
                <w:b/>
                <w:color w:val="000000"/>
                <w:sz w:val="16"/>
                <w:szCs w:val="16"/>
                <w:lang w:eastAsia="nl-BE"/>
              </w:rPr>
              <w:t xml:space="preserve">. en </w:t>
            </w:r>
            <w:r w:rsidRPr="00516013">
              <w:rPr>
                <w:rFonts w:eastAsia="Times New Roman" w:cs="Calibri"/>
                <w:b/>
                <w:color w:val="000000"/>
                <w:sz w:val="16"/>
                <w:szCs w:val="16"/>
                <w:lang w:eastAsia="nl-BE"/>
              </w:rPr>
              <w:t xml:space="preserve">welzijnwet</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Kantooradm. en </w:t>
            </w:r>
            <w:r w:rsidRPr="00516013">
              <w:rPr>
                <w:rFonts w:eastAsia="Times New Roman" w:cs="Calibri"/>
                <w:b/>
                <w:color w:val="000000"/>
                <w:sz w:val="16"/>
                <w:szCs w:val="16"/>
                <w:lang w:eastAsia="nl-BE"/>
              </w:rPr>
              <w:t xml:space="preserve">gegegensb</w:t>
            </w:r>
            <w:r w:rsidRPr="00516013">
              <w:rPr>
                <w:rFonts w:eastAsia="Times New Roman" w:cs="Calibri"/>
                <w:b/>
                <w:color w:val="000000"/>
                <w:sz w:val="16"/>
                <w:szCs w:val="16"/>
                <w:lang w:eastAsia="nl-BE"/>
              </w:rPr>
              <w:t xml:space="preserv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Jeugd- en </w:t>
            </w:r>
            <w:r w:rsidRPr="00516013">
              <w:rPr>
                <w:rFonts w:eastAsia="Times New Roman" w:cs="Calibri"/>
                <w:b/>
                <w:color w:val="000000"/>
                <w:sz w:val="16"/>
                <w:szCs w:val="16"/>
                <w:lang w:eastAsia="nl-BE"/>
              </w:rPr>
              <w:t xml:space="preserve">gehandicaptenz</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5" w:name="_Toc24630439"/>
      <w:r>
        <w:t xml:space="preserve">Hoe SAI leren kennen?</w:t>
      </w:r>
      <w:bookmarkEnd w:id="35"/>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6" w:name="_Toc24630440"/>
      <w:r w:rsidRPr="0086732F">
        <w:rPr/>
        <w:t xml:space="preserve">Bespreking studentengegevens</w:t>
      </w:r>
      <w:bookmarkEnd w:id="36"/>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w:t>
      </w:r>
      <w:r>
        <w:t xml:space="preserve">Vesaliusinstituut</w:t>
      </w:r>
      <w:r>
        <w:t xml:space="preserve">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w:t>
      </w:r>
      <w:r>
        <w:t xml:space="preserve">KatOndVla</w:t>
      </w:r>
      <w:r>
        <w:t xml:space="preserve">).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w:t>
      </w:r>
      <w:r>
        <w:t xml:space="preserve">cohortes</w:t>
      </w:r>
      <w:r>
        <w:t xml:space="preserve">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w:t>
      </w:r>
      <w:r>
        <w:t xml:space="preserve">gemid</w:t>
      </w:r>
      <w:r>
        <w:t xml:space="preserve">.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5" w:author="Marie Verlinden" w:date="2020-05-04T11:58:00Z" w:initials="MV">
    <w:p w14:paraId="64558600">
      <w:pPr>
        <w:pStyle w:val="annotationtext"/>
        <w:rPr/>
      </w:pPr>
    </w:p>
  </w:comment>
  <w:comment w:id="26" w:author="Marie Verlinden" w:date="2020-05-04T11:59:00Z" w:initials="MV">
    <w:p w14:paraId="7CDA6E62">
      <w:pPr>
        <w:pStyle w:val="annotationtext"/>
        <w:rPr/>
      </w:pPr>
    </w:p>
  </w:comment>
  <w:comment w:id="27" w:author="Marie Verlinden" w:date="2020-05-04T11:59:00Z" w:initials="MV">
    <w:p w14:paraId="47967DBA">
      <w:pPr>
        <w:pStyle w:val="annotationtext"/>
        <w:rPr/>
      </w:pPr>
    </w:p>
  </w:comment>
  <w:comment w:id="28" w:author="Marie Verlinden" w:date="2020-05-04T11:59:00Z" w:initials="MV">
    <w:p w14:paraId="249C1948">
      <w:pPr>
        <w:pStyle w:val="annotation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64558600" w15:done="1"/>
  <w15:commentEx w15:paraId="7CDA6E62" w15:done="1"/>
  <w15:commentEx w15:paraId="47967DBA" w15:paraIdParent="7CDA6E62" w15:done="1"/>
  <w15:commentEx w15:paraId="249C1948" w15:paraIdParent="7CDA6E62"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AFF" w:usb1="C0007843"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0002AFF" w:usb1="4000ACFF" w:usb2="00000001"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2AEF" w:usb1="4000207B" w:usb2="00000000"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w:t>
      </w:r>
      <w:r>
        <w:t xml:space="preserve">Vesofo</w:t>
      </w:r>
      <w:r>
        <w:t xml:space="preserve">):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8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ind w:left="709" w:hanging="709"/>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Kop1Char">
    <w:name w:val="Kop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Kop2Char">
    <w:name w:val="Kop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Kop3Char">
    <w:name w:val="Kop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Kop4Char">
    <w:name w:val="Kop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GeenafstandChar">
    <w:name w:val="Geen afstand Char"/>
    <w:basedOn w:val="DefaultParagraphFont"/>
    <w:uiPriority w:val="1"/>
    <w:rsid w:val="00293DCE"/>
    <w:rPr>
      <w:rFonts w:eastAsia="等线" w:eastAsiaTheme="minorEastAsia"/>
      <w:lang w:eastAsia="nl-BE"/>
    </w:rPr>
  </w:style>
  <w:style w:type="character" w:customStyle="1" w:styleId="BallontekstChar">
    <w:name w:val="Ballonteks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KoptekstChar">
    <w:name w:val="Koptekst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VoettekstChar">
    <w:name w:val="Voettekst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VoetnoottekstChar">
    <w:name w:val="Voetnootteks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elChar">
    <w:name w:val="Titel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nnotationreference">
    <w:name w:val="annotation reference"/>
    <w:basedOn w:val="DefaultParagraphFont"/>
    <w:uiPriority w:val="99"/>
    <w:semiHidden/>
    <w:unhideWhenUsed/>
    <w:rsid w:val="003A42EB"/>
    <w:rPr>
      <w:sz w:val="16"/>
      <w:szCs w:val="16"/>
    </w:rPr>
  </w:style>
  <w:style w:type="paragraph" w:styleId="annotationtext">
    <w:name w:val="annotation text"/>
    <w:basedOn w:val="Normal"/>
    <w:uiPriority w:val="99"/>
    <w:semiHidden/>
    <w:unhideWhenUsed/>
    <w:rsid w:val="003A42EB"/>
    <w:pPr>
      <w:spacing w:line="240" w:lineRule="auto"/>
    </w:pPr>
    <w:rPr/>
  </w:style>
  <w:style w:type="character" w:customStyle="1" w:styleId="TekstopmerkingChar">
    <w:name w:val="Tekst opmerking Char"/>
    <w:basedOn w:val="DefaultParagraphFont"/>
    <w:uiPriority w:val="99"/>
    <w:semiHidden/>
    <w:rsid w:val="003A42EB"/>
    <w:rPr>
      <w:rFonts w:ascii="Verdana" w:hAnsi="Verdana"/>
      <w:sz w:val="20"/>
      <w:szCs w:val="20"/>
    </w:rPr>
  </w:style>
  <w:style w:type="paragraph" w:styleId="annotationsubject">
    <w:name w:val="annotation subject"/>
    <w:basedOn w:val="annotationtext"/>
    <w:uiPriority w:val="99"/>
    <w:semiHidden/>
    <w:unhideWhenUsed/>
    <w:rsid w:val="003A42EB"/>
    <w:rPr>
      <w:b/>
      <w:bCs/>
    </w:rPr>
  </w:style>
  <w:style w:type="character" w:customStyle="1" w:styleId="OnderwerpvanopmerkingChar">
    <w:name w:val="Onderwerp van opmerking Char"/>
    <w:basedOn w:val="Tekstopmerking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nl-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oreProperties xmlns:dc="http://purl.org/dc/elements/1.1/" xmlns:dcterms="http://purl.org/dc/terms/" xmlns:xsi="http://www.w3.org/2001/XMLSchema-instance" xmlns="http://schemas.openxmlformats.org/package/2006/metadata/core-properties">
  <dc:title/>
  <dc:subject/>
  <dc:creator>Marie Verlinden</dc:creator>
  <keywords/>
  <dc:description/>
  <lastModifiedBy>Steven Bjones</lastModifiedBy>
  <revision>27</revision>
  <dcterms:created xsi:type="dcterms:W3CDTF">2020-05-04T08:24:00.0000000Z</dcterms:created>
  <dcterms:modified xsi:type="dcterms:W3CDTF">2020-05-06T16:19:51.6333708Z</dcterms:modified>
</coreProperties>
</file>

<file path=customXml/item2.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3A49F2-5486-419A-8FB4-BF533B1984BE}">
  <ds:schemaRefs>
    <ds:schemaRef ds:uri="http://schemas.microsoft.com/sharepoint/v3/contenttype/forms"/>
  </ds:schemaRefs>
</ds:datastoreItem>
</file>

<file path=customXml/itemProps6.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docProps/app.xml><?xml version="1.0" encoding="utf-8"?>
<Properties xmlns:vt="http://schemas.openxmlformats.org/officeDocument/2006/docPropsVTypes" xmlns="http://schemas.openxmlformats.org/officeDocument/2006/extended-properties">
  <Template>Normal</Template>
  <Application>Microsoft Office Word</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27</cp:revision>
  <dcterms:created xsi:type="dcterms:W3CDTF">2020-05-04T08:24:00Z</dcterms:created>
  <dcterms:modified xsi:type="dcterms:W3CDTF">2020-05-06T16:19:51Z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