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aps/>
          <w:color w:val="888888"/>
          <w:sz w:val="20"/>
          <w:szCs w:val="20"/>
        </w:rPr>
        <w:t xml:space="preserve">SYSTEMATIC LITERATURE CODING</w:t>
      </w:r>
    </w:p>
    <w:p>
      <w:pPr>
        <w:spacing w:before="0" w:after="120"/>
      </w:pPr>
      <w:r>
        <w:rPr>
          <w:rFonts w:ascii="Arial" w:cs="Arial" w:eastAsia="Arial" w:hAnsi="Arial"/>
          <w:b/>
          <w:bCs/>
          <w:color w:val="2E4057"/>
          <w:sz w:val="36"/>
          <w:szCs w:val="36"/>
        </w:rPr>
        <w:t xml:space="preserve">Climate Adaptation Finance Stream</w:t>
      </w:r>
    </w:p>
    <w:p>
      <w:pPr>
        <w:spacing w:before="0" w:after="240"/>
      </w:pPr>
      <w:r>
        <w:rPr>
          <w:rFonts w:ascii="Arial" w:cs="Arial" w:eastAsia="Arial" w:hAnsi="Arial"/>
          <w:color w:val="555555"/>
          <w:sz w:val="18"/>
          <w:szCs w:val="18"/>
        </w:rPr>
        <w:t xml:space="preserve">Synthesis Project Output  |  Steve Brandon, PhD Candidate QUT/Griffith  |  February 2026</w:t>
      </w:r>
    </w:p>
    <w:p>
      <w:pPr>
        <w:pBdr>
          <w:bottom w:val="single" w:color="2E4057" w:sz="6" w:space="1"/>
        </w:pBdr>
        <w:spacing w:before="120" w:after="120"/>
      </w:pPr>
      <w:r>
        <w:t xml:space="preserve"/>
      </w:r>
    </w:p>
    <w:p>
      <w:pPr>
        <w:pStyle w:val="Heading1"/>
        <w:spacing w:before="360" w:after="120"/>
      </w:pPr>
      <w:r>
        <w:rPr>
          <w:rFonts w:ascii="Arial" w:cs="Arial" w:eastAsia="Arial" w:hAnsi="Arial"/>
          <w:b/>
          <w:bCs/>
          <w:color w:val="2E4057"/>
          <w:sz w:val="28"/>
          <w:szCs w:val="28"/>
        </w:rPr>
        <w:t xml:space="preserve">STEP 1 — INCLUSION SCREENING SUMMARY</w:t>
      </w:r>
    </w:p>
    <w:p>
      <w:pPr>
        <w:spacing w:before="60" w:after="60"/>
      </w:pPr>
      <w:r>
        <w:rPr>
          <w:rFonts w:ascii="Arial" w:cs="Arial" w:eastAsia="Arial" w:hAnsi="Arial"/>
          <w:b w:val="false"/>
          <w:bCs w:val="false"/>
          <w:color w:val="111111"/>
          <w:sz w:val="18"/>
          <w:szCs w:val="18"/>
        </w:rPr>
        <w:t xml:space="preserve">Total PDFs screened: 9</w:t>
      </w:r>
    </w:p>
    <w:p>
      <w:pPr>
        <w:spacing w:before="60" w:after="40"/>
      </w:pPr>
      <w:r>
        <w:rPr>
          <w:rFonts w:ascii="Arial" w:cs="Arial" w:eastAsia="Arial" w:hAnsi="Arial"/>
          <w:b/>
          <w:bCs/>
          <w:color w:val="1A7A2F"/>
          <w:sz w:val="20"/>
          <w:szCs w:val="20"/>
        </w:rPr>
        <w:t xml:space="preserve">INCLUDED: 1</w:t>
      </w:r>
    </w:p>
    <w:p>
      <w:pPr>
        <w:spacing w:before="40" w:after="120"/>
      </w:pPr>
      <w:r>
        <w:rPr>
          <w:rFonts w:ascii="Arial" w:cs="Arial" w:eastAsia="Arial" w:hAnsi="Arial"/>
          <w:b/>
          <w:bCs/>
          <w:color w:val="B71C1C"/>
          <w:sz w:val="20"/>
          <w:szCs w:val="20"/>
        </w:rPr>
        <w:t xml:space="preserve">EXCLUDED: 8</w:t>
      </w:r>
    </w:p>
    <w:p>
      <w:pPr>
        <w:spacing w:before="60" w:after="60"/>
      </w:pPr>
      <w:r>
        <w:rPr>
          <w:rFonts w:ascii="Arial" w:cs="Arial" w:eastAsia="Arial" w:hAnsi="Arial"/>
          <w:b w:val="false"/>
          <w:bCs w:val="false"/>
          <w:color w:val="111111"/>
          <w:sz w:val="18"/>
          <w:szCs w:val="18"/>
        </w:rPr>
        <w:t xml:space="preserve">Inclusion criteria applied: Quantitative outcome + regression/causal claim + development projects (adaptation responses) + peer-reviewed or credible working paper.</w:t>
      </w:r>
    </w:p>
    <w:p>
      <w:pPr>
        <w:spacing w:before="60" w:after="60"/>
      </w:pPr>
      <w:r>
        <w:rPr>
          <w:rFonts w:ascii="Arial" w:cs="Arial" w:eastAsia="Arial" w:hAnsi="Arial"/>
          <w:b w:val="false"/>
          <w:bCs w:val="false"/>
          <w:color w:val="111111"/>
          <w:sz w:val="18"/>
          <w:szCs w:val="18"/>
        </w:rPr>
        <w:t xml:space="preserve">Exclusion applied: Purely descriptive; n&lt;10; single project; macro-only; no project-level data; no regression analysis.</w:t>
      </w:r>
    </w:p>
    <w:p>
      <w:pPr>
        <w:spacing w:before="80" w:after="80"/>
      </w:pPr>
      <w:r>
        <w:t xml:space="preserve"/>
      </w:r>
    </w:p>
    <w:p>
      <w:pPr>
        <w:pStyle w:val="Heading2"/>
        <w:spacing w:before="240" w:after="80"/>
      </w:pPr>
      <w:r>
        <w:rPr>
          <w:rFonts w:ascii="Arial" w:cs="Arial" w:eastAsia="Arial" w:hAnsi="Arial"/>
          <w:b/>
          <w:bCs/>
          <w:color w:val="1B6CA8"/>
          <w:sz w:val="24"/>
          <w:szCs w:val="24"/>
        </w:rPr>
        <w:t xml:space="preserve">Excluded Papers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380"/>
        <w:gridCol w:w="2000"/>
        <w:gridCol w:w="2000"/>
        <w:gridCol w:w="2000"/>
      </w:tblGrid>
      <w:tr>
        <w:tc>
          <w:tcPr>
            <w:tcW w:type="dxa" w:w="5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14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Authors</w:t>
            </w:r>
          </w:p>
        </w:tc>
        <w:tc>
          <w:tcPr>
            <w:tcW w:type="dxa" w:w="3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Year</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Journal/Source</w:t>
            </w:r>
          </w:p>
        </w:tc>
        <w:tc>
          <w:tcPr>
            <w:tcW w:type="dxa" w:w="20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17"/>
                <w:szCs w:val="17"/>
              </w:rPr>
              <w:t xml:space="preserve">Reason for Exclusion</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EX-01</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Stadelmann M, Michaelowa A, Butzengeiger-Geyer S, Köhler M</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2011</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Universal metrics to compare the effectiveness of climate change adaptation projects</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Working Paper, Univ. of Zurich / Perspectives GmbH</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n=5 adaptation projects only (below n=10 threshold); no regression/causal claim; illustrative descriptive working paper.</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EX-02</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Rezvani SMHS, de Almeida NM, Falcão MJ</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2023</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Climate Adaptation Measures for Enhancing Urban Resilience</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Buildings, 13, 2163</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descriptive categorisation of 50 adaptation measure types; no regression/causal analysis; MCDA-AHP prioritisation only; no project-level outcome data.</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EX-03</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Li J et al.</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2015</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Improving the practice of economic analysis of climate change adaptation</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Journal of Benefit-Cost Analysis, 6(2), 445–467</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descriptive policy review of BCA frameworks (US, international); no regression; no project-level data; macro/normative only.</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EX-04</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[Unidentified authors — rbaval132]</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2024</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Climate adaptation monitoring frameworks: Challenges, best practices, needs (South Africa &amp; Mozambique)</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Revista Brasileira de Avaliação, 13(2 spe), e130424</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purely descriptive qualitative case study of national M&amp;E frameworks; no regression/causal claim; no project-level data.</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EX-05</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Jones L, Harvey B, Cochrane L, Cantin B, Conway D, Cornforth RJ, De Souza K, Kirbyshire A</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2018</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Designing the next generation of climate adaptation research for development</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Regional Environmental Change, 18, 297–304</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normative agenda-setting short communication; no quantitative analysis; no regression; no project-level data.</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EX-06</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Singh C et al.</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2020</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Assessing the feasibility of adaptation options for 23 adaptation options (IPCC-linked assessment)</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Climatic Change, 162, 255–277</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semi-systematic feasibility assessment of 23 option types using structured scoring — not regression; unit of analysis is option categories not projects; no project-level outcome data.</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EX-07</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Wright CY, Naidoo N, Anand N, Kapwata T, Webster C</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2025</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"SCALE-up" — a new framework to assess the effectiveness of climate change adaptation interventions for human health and health systems</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BMC Public Health, 25:2247</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scoping review (n=21 articles + 12 grey docs) + expert interviews for framework development; no regression/causal analysis; no project-level outcome data.</w:t>
            </w:r>
          </w:p>
        </w:tc>
      </w:tr>
      <w:tr>
        <w:tc>
          <w:tcPr>
            <w:tcW w:type="dxa" w:w="54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EX-08</w:t>
            </w:r>
          </w:p>
        </w:tc>
        <w:tc>
          <w:tcPr>
            <w:tcW w:type="dxa" w:w="14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van Loon-Steensma JM, Goldsworthy C</w:t>
            </w:r>
          </w:p>
        </w:tc>
        <w:tc>
          <w:tcPr>
            <w:tcW w:type="dxa" w:w="38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2022</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The application of an environmental performance framework for climate adaptation innovations on two nature-based adaptations</w:t>
            </w:r>
          </w:p>
        </w:tc>
        <w:tc>
          <w:tcPr>
            <w:tcW w:type="dxa" w:w="2000"/>
            <w:tcBorders>
              <w:top w:val="single" w:color="999999" w:sz="1"/>
              <w:left w:val="single" w:color="999999" w:sz="1"/>
              <w:bottom w:val="single" w:color="999999" w:sz="1"/>
              <w:right w:val="single" w:color="999999" w:sz="1"/>
            </w:tcBorders>
            <w:shd w:fill="F0F4F8" w:val="clear"/>
            <w:tcMar>
              <w:top w:type="dxa" w:w="80"/>
              <w:left w:type="dxa" w:w="120"/>
              <w:bottom w:type="dxa" w:w="80"/>
              <w:right w:type="dxa" w:w="120"/>
            </w:tcMar>
          </w:tcPr>
          <w:p>
            <w:r>
              <w:rPr>
                <w:rFonts w:ascii="Arial" w:cs="Arial" w:eastAsia="Arial" w:hAnsi="Arial"/>
                <w:color w:val="111111"/>
                <w:sz w:val="17"/>
                <w:szCs w:val="17"/>
              </w:rPr>
              <w:t xml:space="preserve">Ambio, 51, 569–585</w:t>
            </w:r>
          </w:p>
        </w:tc>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EXCLUDE: n=2 case studies (Netherlands); qualitative EPF framework application; no regression; no project-level outcome data.</w:t>
            </w:r>
          </w:p>
        </w:tc>
      </w:tr>
    </w:tbl>
    <w:p>
      <w:pPr>
        <w:spacing w:before="80" w:after="80"/>
      </w:pPr>
      <w:r>
        <w:t xml:space="preserve"/>
      </w:r>
    </w:p>
    <w:p>
      <w:pPr>
        <w:pBdr>
          <w:bottom w:val="single" w:color="2E4057" w:sz="6" w:space="1"/>
        </w:pBdr>
        <w:spacing w:before="120" w:after="120"/>
      </w:pPr>
      <w:r>
        <w:t xml:space="preserve"/>
      </w:r>
    </w:p>
    <w:p>
      <w:pPr>
        <w:pStyle w:val="Heading1"/>
        <w:spacing w:before="360" w:after="120"/>
      </w:pPr>
      <w:r>
        <w:rPr>
          <w:rFonts w:ascii="Arial" w:cs="Arial" w:eastAsia="Arial" w:hAnsi="Arial"/>
          <w:b/>
          <w:bCs/>
          <w:color w:val="2E4057"/>
          <w:sz w:val="28"/>
          <w:szCs w:val="28"/>
        </w:rPr>
        <w:t xml:space="preserve">TAB A — INCLUDED PAPERS (17-Field Coding)</w:t>
      </w:r>
    </w:p>
    <w:p>
      <w:pPr>
        <w:spacing w:before="80" w:after="80"/>
      </w:pPr>
      <w:r>
        <w:t xml:space="preserve"/>
      </w:r>
    </w:p>
    <w:p>
      <w:pPr>
        <w:spacing w:before="120" w:after="80"/>
      </w:pPr>
      <w:r>
        <w:rPr>
          <w:rFonts w:ascii="Arial" w:cs="Arial" w:eastAsia="Arial" w:hAnsi="Arial"/>
          <w:b/>
          <w:bCs/>
          <w:color w:val="2E4057"/>
          <w:sz w:val="22"/>
          <w:szCs w:val="22"/>
        </w:rPr>
        <w:t xml:space="preserve">Record CAF-01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Paper_ID</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CAF-01</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Authors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Ulibarri N, Ajibade I, Galappaththi EK, Joe ET, Lesnikowski A, Mach KJ, et al. (GAMI Team)</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Year</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2022</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Title</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A global assessment of policy tools to support climate adaptation</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Journal</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Climate Policy, 22(1), 77–96</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Stream</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Climate Adaptation Finance</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Research_Question</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What policy tool types are used in global adaptation responses, and how do they relate to transformational adaptation (depth, scope, speed)?</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Outcome_Variable</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Depth, scope, and speed of adaptation (ordinal, 3-level)</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Main_Predictor</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Policy tool type (direct regulations, plans, economic instruments, information provisioning, capacity building, networks)</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Model_Type</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Ordered multinomial logistic regression; logistic regression (R MASS package)</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Dataset</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Global Adaptation Mapping Initiative (GAMI) — systematic review of peer-reviewed academic literature</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n_Projects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1,549 (adaptation responses documented in academic papers)</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Key_Finding</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Direct regulations (OR=2.24***), plans (OR=2.04***), and capacity building (OR=2.23***) significantly predict higher adaptation depth; regulations (2.66***) and plans (2.65***) predict greater scope. Economic instruments, information provisioning, and networks not consistently associated with transformational outcomes.</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Gap_They_Left</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No tool-mix analysis; no project design quality predictor; no project-level budget/cost data; cross-sectional; unit of analysis is papers not independent projects; endogeneity unaddressed.</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Relevant_to_RQ</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Yes — directly precedent: design choices (tool type) predict adaptation outcomes; nearest analogue to QE → outcome logic.</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Deep_Read</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Yes</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Notes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Unit of analysis = academic papers documenting adaptation responses, not individual development bank projects; reporting bias acknowledged; primarily OECD/English literature skew.</w:t>
            </w:r>
          </w:p>
        </w:tc>
      </w:tr>
    </w:tbl>
    <w:p>
      <w:pPr>
        <w:spacing w:before="80" w:after="80"/>
      </w:pPr>
      <w:r>
        <w:t xml:space="preserve"/>
      </w:r>
    </w:p>
    <w:p>
      <w:pPr>
        <w:pBdr>
          <w:bottom w:val="single" w:color="2E4057" w:sz="6" w:space="1"/>
        </w:pBdr>
        <w:spacing w:before="120" w:after="120"/>
      </w:pPr>
      <w:r>
        <w:t xml:space="preserve"/>
      </w:r>
    </w:p>
    <w:p>
      <w:pPr>
        <w:pStyle w:val="Heading1"/>
        <w:spacing w:before="360" w:after="120"/>
      </w:pPr>
      <w:r>
        <w:rPr>
          <w:rFonts w:ascii="Arial" w:cs="Arial" w:eastAsia="Arial" w:hAnsi="Arial"/>
          <w:b/>
          <w:bCs/>
          <w:color w:val="2E4057"/>
          <w:sz w:val="28"/>
          <w:szCs w:val="28"/>
        </w:rPr>
        <w:t xml:space="preserve">TAB B — DEEP READ (CAF-01, Deep_Read = Yes)</w:t>
      </w:r>
    </w:p>
    <w:p>
      <w:pPr>
        <w:spacing w:before="80" w:after="80"/>
      </w:pPr>
      <w:r>
        <w:t xml:space="preserve"/>
      </w:r>
    </w:p>
    <w:p>
      <w:pPr>
        <w:spacing w:before="120" w:after="80"/>
      </w:pPr>
      <w:r>
        <w:rPr>
          <w:rFonts w:ascii="Arial" w:cs="Arial" w:eastAsia="Arial" w:hAnsi="Arial"/>
          <w:b/>
          <w:bCs/>
          <w:color w:val="2E4057"/>
          <w:sz w:val="22"/>
          <w:szCs w:val="22"/>
        </w:rPr>
        <w:t xml:space="preserve">Record CAF-01 Deep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Paper_ID</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CAF-01</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Authors_Year</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Ulibarri et al., 2022</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Model_Specification</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Ordered logistic regression (R: MASS package) — DV: depth/scope/speed of adaptation (ordinal, 3-level: low/medium/high). Separate models for each of the three outcomes. Main predictors: six binary indicators for tool presence. AIC reported (depth=1750, scope=2168, speed=1363).</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Identification_Strategy</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Cross-sectional observational. No causal identification strategy. Association between documented tool use in papers and coded adaptation outcomes. No IV, RDD, DID, or matching employed.</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Control_Variables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Logistic regressions for tool use include sector, region, actor type, climate hazard. Ordered logistic models for depth/scope/speed report tool binary predictors and intercepts only; no additional controls explicitly specified.</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Fixed_Effects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None</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Standard_Errors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Not reported (R MASS default); significance coded at p&lt;0.001, p&lt;0.01, p&lt;0.05 via z-test</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Main_Coefficient</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Depth: Reg OR=2.24***, Plans 2.04***, Econ 1.19ns, Info 0.96ns, CaBld 2.23***, Network 1.80***. Scope: Reg 2.66***, Plans 2.65***, Econ 1.57**, Info 1.27ns, CaBld 2.11***, Network 1.38ns. Speed: all non-significant.</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Robustness_Tests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Intercoder reliability on 120 papers (78%). Authors reconciled conflicting codes. No alternative model specifications, bootstrapping, or sensitivity analyses reported.</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Bias_Acknowledged</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Reporting bias (geographic skew; limited Africa/Asia coverage); research focus bias (certain tool types more commonly studied); unit of analysis is papers not adaptations; single-tool framing may miss interactions.</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Bias_NOT_Addressed</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Endogeneity: higher-capacity contexts likely adopt both "better" tools and achieve better outcomes simultaneously. Reverse causality. Publication bias in underlying literature. Heteroscedasticity not tested. Selection effects in GAMI database construction.</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Data_Source_Detail</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GAMI: global network of 120+ researchers; 1682 papers screened to 1549 with documented adaptation responses. Papers coded for tool type, sector, region, actor, climate hazard, depth/scope/speed. 78% intercoder reliability on 120-paper subsample.</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Sample_Restrictions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English-language peer-reviewed academic literature only; adaptation must be documented as implemented (not merely planned); excluded 133 papers lacking sufficient description.</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Cross_Institution</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Cross-sectional global — covers adaptation responses across all continents, sectors (food, water, health, cities, ecosystems), and institutional levels (local to international).</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Heterogeneity_Tests</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No formal heterogeneity tests. Descriptive cross-tabulations by region, sector, actor type, and targeted marginalized group provided. No interaction terms in regression models.</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Your_Advance</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Brandon (QUT/Griffith) advances beyond Ulibarri et al. in four ways: (1) unit of analysis is individual World Bank projects (n=12,328) rather than academic papers; (2) predictor is project design quality at entry (QE score) — a direct measure of how well designed a project is — rather than tool type category; (3) outcome is IEG's independent ex-post project outcome rating (binary satisfactory/unsatisfactory), not depth/scope/speed coded from papers; (4) OR=27.8 for QE→outcome dwarfs the largest OR (2.66) in Ulibarri et al., suggesting project design quality is a far stronger predictor than tool type alone.</w:t>
            </w:r>
          </w:p>
        </w:tc>
      </w:tr>
      <w:t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rFonts w:ascii="Arial" w:cs="Arial" w:eastAsia="Arial" w:hAnsi="Arial"/>
                <w:b/>
                <w:bCs/>
                <w:color w:val="1B6CA8"/>
                <w:sz w:val="18"/>
                <w:szCs w:val="18"/>
              </w:rPr>
              <w:t xml:space="preserve">Quote_For_Paper</w:t>
            </w:r>
          </w:p>
        </w:tc>
        <w:tc>
          <w:tcPr>
            <w:tcW w:type="dxa" w:w="7560"/>
            <w:tcBorders>
              <w:top w:val="single" w:color="999999" w:sz="1"/>
              <w:left w:val="single" w:color="999999" w:sz="1"/>
              <w:bottom w:val="single" w:color="999999" w:sz="1"/>
              <w:right w:val="single" w:color="999999" w:sz="1"/>
            </w:tcBorders>
            <w:shd w:fill="F7F9FC" w:val="clear"/>
            <w:tcMar>
              <w:top w:type="dxa" w:w="80"/>
              <w:left w:type="dxa" w:w="120"/>
              <w:bottom w:type="dxa" w:w="80"/>
              <w:right w:type="dxa" w:w="120"/>
            </w:tcMar>
          </w:tcPr>
          <w:p>
            <w:r>
              <w:rPr>
                <w:rFonts w:ascii="Arial" w:cs="Arial" w:eastAsia="Arial" w:hAnsi="Arial"/>
                <w:color w:val="111111"/>
                <w:sz w:val="18"/>
                <w:szCs w:val="18"/>
              </w:rPr>
              <w:t xml:space="preserve">"Direct regulations, plans, and capacity building are associated with higher depth and scope of adaptation" (p.77). "Most of the adaptation literature focuses on single tools rather than the dynamics of tool mixes... a partial view on how adaptation is being implemented" (p.87).</w:t>
            </w:r>
          </w:p>
        </w:tc>
      </w:tr>
    </w:tbl>
    <w:p>
      <w:pPr>
        <w:spacing w:before="80" w:after="80"/>
      </w:pPr>
      <w:r>
        <w:t xml:space="preserve"/>
      </w:r>
    </w:p>
    <w:p>
      <w:pPr>
        <w:pBdr>
          <w:bottom w:val="single" w:color="2E4057" w:sz="6" w:space="1"/>
        </w:pBdr>
        <w:spacing w:before="120" w:after="120"/>
      </w:pPr>
      <w:r>
        <w:t xml:space="preserve"/>
      </w:r>
    </w:p>
    <w:p>
      <w:pPr>
        <w:pStyle w:val="Heading1"/>
        <w:spacing w:before="360" w:after="120"/>
      </w:pPr>
      <w:r>
        <w:rPr>
          <w:rFonts w:ascii="Arial" w:cs="Arial" w:eastAsia="Arial" w:hAnsi="Arial"/>
          <w:b/>
          <w:bCs/>
          <w:color w:val="2E4057"/>
          <w:sz w:val="28"/>
          <w:szCs w:val="28"/>
        </w:rPr>
        <w:t xml:space="preserve">STEP 4 — STREAM SUMMARY</w:t>
      </w:r>
    </w:p>
    <w:p>
      <w:pPr>
        <w:spacing w:before="80" w:after="80"/>
      </w:pPr>
      <w:r>
        <w:t xml:space="preserve"/>
      </w:r>
    </w:p>
    <w:p>
      <w:pPr>
        <w:pStyle w:val="Heading2"/>
        <w:spacing w:before="240" w:after="80"/>
      </w:pPr>
      <w:r>
        <w:rPr>
          <w:rFonts w:ascii="Arial" w:cs="Arial" w:eastAsia="Arial" w:hAnsi="Arial"/>
          <w:b/>
          <w:bCs/>
          <w:color w:val="1B6CA8"/>
          <w:sz w:val="24"/>
          <w:szCs w:val="24"/>
        </w:rPr>
        <w:t xml:space="preserve">Counts</w:t>
      </w:r>
    </w:p>
    <w:p>
      <w:pPr>
        <w:spacing w:before="60" w:after="60"/>
      </w:pPr>
      <w:r>
        <w:rPr>
          <w:rFonts w:ascii="Arial" w:cs="Arial" w:eastAsia="Arial" w:hAnsi="Arial"/>
          <w:b w:val="false"/>
          <w:bCs w:val="false"/>
          <w:color w:val="111111"/>
          <w:sz w:val="18"/>
          <w:szCs w:val="18"/>
        </w:rPr>
        <w:t xml:space="preserve">Included: 1 paper | Excluded: 8 papers</w:t>
      </w:r>
    </w:p>
    <w:p>
      <w:pPr>
        <w:spacing w:before="80" w:after="80"/>
      </w:pPr>
      <w:r>
        <w:t xml:space="preserve"/>
      </w:r>
    </w:p>
    <w:p>
      <w:pPr>
        <w:pStyle w:val="Heading2"/>
        <w:spacing w:before="240" w:after="80"/>
      </w:pPr>
      <w:r>
        <w:rPr>
          <w:rFonts w:ascii="Arial" w:cs="Arial" w:eastAsia="Arial" w:hAnsi="Arial"/>
          <w:b/>
          <w:bCs/>
          <w:color w:val="1B6CA8"/>
          <w:sz w:val="24"/>
          <w:szCs w:val="24"/>
        </w:rPr>
        <w:t xml:space="preserve">Stream Gap — Confirmed in One Sentence</w:t>
      </w:r>
    </w:p>
    <w:p>
      <w:pPr>
        <w:spacing w:before="80" w:after="80"/>
        <w:ind w:left="360"/>
      </w:pPr>
      <w:r>
        <w:rPr>
          <w:rFonts w:ascii="Arial" w:cs="Arial" w:eastAsia="Arial" w:hAnsi="Arial"/>
          <w:color w:val="1B4F72"/>
          <w:sz w:val="19"/>
          <w:szCs w:val="19"/>
        </w:rPr>
        <w:t xml:space="preserve">The Climate Adaptation Finance literature demonstrates that design-level choices (policy tool type, programme structure) predict transformational adaptation outcomes using regression analysis at literature-review scale (n=1,549 adaptation responses), yet no study uses individual project-level data to test whether a summary design quality score at entry (analogous to the World Bank's Quality at Entry / QE score) independently predicts ex-post outcome ratings across a large (n&gt;1,000), cross-institutional portfolio — leaving open the precise causal pathway from design quality to project success.</w:t>
      </w:r>
    </w:p>
    <w:p>
      <w:pPr>
        <w:spacing w:before="80" w:after="80"/>
      </w:pPr>
      <w:r>
        <w:t xml:space="preserve"/>
      </w:r>
    </w:p>
    <w:p>
      <w:pPr>
        <w:pStyle w:val="Heading2"/>
        <w:spacing w:before="240" w:after="80"/>
      </w:pPr>
      <w:r>
        <w:rPr>
          <w:rFonts w:ascii="Arial" w:cs="Arial" w:eastAsia="Arial" w:hAnsi="Arial"/>
          <w:b/>
          <w:bCs/>
          <w:color w:val="1B6CA8"/>
          <w:sz w:val="24"/>
          <w:szCs w:val="24"/>
        </w:rPr>
        <w:t xml:space="preserve">Top 3 Forward Citations to Chase</w:t>
      </w:r>
    </w:p>
    <w:p>
      <w:pPr>
        <w:spacing w:before="60" w:after="60"/>
      </w:pPr>
      <w:r>
        <w:rPr>
          <w:rFonts w:ascii="Arial" w:cs="Arial" w:eastAsia="Arial" w:hAnsi="Arial"/>
          <w:b w:val="false"/>
          <w:bCs w:val="false"/>
          <w:color w:val="111111"/>
          <w:sz w:val="18"/>
          <w:szCs w:val="18"/>
        </w:rPr>
        <w:t xml:space="preserve">These are the high-priority papers to retrieve and code from forward citation searches on CAF-01 (Ulibarri et al. 2022):</w:t>
      </w:r>
    </w:p>
    <w:p>
      <w:pPr>
        <w:spacing w:before="80" w:after="80"/>
      </w:pPr>
      <w:r>
        <w:t xml:space="preserve"/>
      </w:r>
    </w:p>
    <w:p>
      <w:pPr>
        <w:spacing w:before="80" w:after="20"/>
      </w:pPr>
      <w:r>
        <w:rPr>
          <w:rFonts w:ascii="Arial" w:cs="Arial" w:eastAsia="Arial" w:hAnsi="Arial"/>
          <w:b/>
          <w:bCs/>
          <w:sz w:val="19"/>
          <w:szCs w:val="19"/>
        </w:rPr>
        <w:t xml:space="preserve">1.  Berrang-Ford L, Callaghan M, Ford JD, et al. (2021)</w:t>
      </w:r>
    </w:p>
    <w:p>
      <w:pPr>
        <w:spacing w:before="60" w:after="60"/>
      </w:pPr>
      <w:r>
        <w:rPr>
          <w:rFonts w:ascii="Arial" w:cs="Arial" w:eastAsia="Arial" w:hAnsi="Arial"/>
          <w:b w:val="false"/>
          <w:bCs w:val="false"/>
          <w:color w:val="111111"/>
          <w:sz w:val="18"/>
          <w:szCs w:val="18"/>
        </w:rPr>
        <w:t xml:space="preserve">   "A systematic global stocktake of evidence on human adaptation to climate change." Nature Climate Change, 11, 989–1000.</w:t>
      </w:r>
    </w:p>
    <w:p>
      <w:pPr>
        <w:spacing w:before="60" w:after="60"/>
      </w:pPr>
      <w:r>
        <w:rPr>
          <w:rFonts w:ascii="Arial" w:cs="Arial" w:eastAsia="Arial" w:hAnsi="Arial"/>
          <w:b w:val="false"/>
          <w:bCs w:val="false"/>
          <w:color w:val="111111"/>
          <w:sz w:val="18"/>
          <w:szCs w:val="18"/>
        </w:rPr>
        <w:t xml:space="preserve">   Rationale: Foundational GAMI paper providing the full database from which CAF-01 draws. Directly links adaptation response characteristics to effectiveness metrics. Likely contains further quantitative analysis of design-quality proxies and outcome.</w:t>
      </w:r>
    </w:p>
    <w:p>
      <w:pPr>
        <w:spacing w:before="80" w:after="80"/>
      </w:pPr>
      <w:r>
        <w:t xml:space="preserve"/>
      </w:r>
    </w:p>
    <w:p>
      <w:pPr>
        <w:spacing w:before="80" w:after="20"/>
      </w:pPr>
      <w:r>
        <w:rPr>
          <w:rFonts w:ascii="Arial" w:cs="Arial" w:eastAsia="Arial" w:hAnsi="Arial"/>
          <w:b/>
          <w:bCs/>
          <w:sz w:val="19"/>
          <w:szCs w:val="19"/>
        </w:rPr>
        <w:t xml:space="preserve">2.  Lesnikowski A, Ford J, Biesbroek R, et al. (2022)</w:t>
      </w:r>
    </w:p>
    <w:p>
      <w:pPr>
        <w:spacing w:before="60" w:after="60"/>
      </w:pPr>
      <w:r>
        <w:rPr>
          <w:rFonts w:ascii="Arial" w:cs="Arial" w:eastAsia="Arial" w:hAnsi="Arial"/>
          <w:b w:val="false"/>
          <w:bCs w:val="false"/>
          <w:color w:val="111111"/>
          <w:sz w:val="18"/>
          <w:szCs w:val="18"/>
        </w:rPr>
        <w:t xml:space="preserve">   "What drives national adaptation? A global assessment" (or related national adaptation tracking paper, Global Environmental Change).</w:t>
      </w:r>
    </w:p>
    <w:p>
      <w:pPr>
        <w:spacing w:before="60" w:after="60"/>
      </w:pPr>
      <w:r>
        <w:rPr>
          <w:rFonts w:ascii="Arial" w:cs="Arial" w:eastAsia="Arial" w:hAnsi="Arial"/>
          <w:b w:val="false"/>
          <w:bCs w:val="false"/>
          <w:color w:val="111111"/>
          <w:sz w:val="18"/>
          <w:szCs w:val="18"/>
        </w:rPr>
        <w:t xml:space="preserve">   Rationale: Quantitative cross-national analysis of adaptation policy/programme types and outcomes; uses regression with adaptation depth measures; closest to testing design → outcome with large n. May contain project-level analogues.</w:t>
      </w:r>
    </w:p>
    <w:p>
      <w:pPr>
        <w:spacing w:before="80" w:after="80"/>
      </w:pPr>
      <w:r>
        <w:t xml:space="preserve"/>
      </w:r>
    </w:p>
    <w:p>
      <w:pPr>
        <w:spacing w:before="80" w:after="20"/>
      </w:pPr>
      <w:r>
        <w:rPr>
          <w:rFonts w:ascii="Arial" w:cs="Arial" w:eastAsia="Arial" w:hAnsi="Arial"/>
          <w:b/>
          <w:bCs/>
          <w:sz w:val="19"/>
          <w:szCs w:val="19"/>
        </w:rPr>
        <w:t xml:space="preserve">3.  Biesbroek R, Lesnikowski A, et al. (2018 / 2020)</w:t>
      </w:r>
    </w:p>
    <w:p>
      <w:pPr>
        <w:spacing w:before="60" w:after="60"/>
      </w:pPr>
      <w:r>
        <w:rPr>
          <w:rFonts w:ascii="Arial" w:cs="Arial" w:eastAsia="Arial" w:hAnsi="Arial"/>
          <w:b w:val="false"/>
          <w:bCs w:val="false"/>
          <w:color w:val="111111"/>
          <w:sz w:val="18"/>
          <w:szCs w:val="18"/>
        </w:rPr>
        <w:t xml:space="preserve">   "Adaptation policy mixes: Conceptual frameworks and empirical analysis" (Research Policy / Global Environmental Change).</w:t>
      </w:r>
    </w:p>
    <w:p>
      <w:pPr>
        <w:spacing w:before="60" w:after="60"/>
      </w:pPr>
      <w:r>
        <w:rPr>
          <w:rFonts w:ascii="Arial" w:cs="Arial" w:eastAsia="Arial" w:hAnsi="Arial"/>
          <w:b w:val="false"/>
          <w:bCs w:val="false"/>
          <w:color w:val="111111"/>
          <w:sz w:val="18"/>
          <w:szCs w:val="18"/>
        </w:rPr>
        <w:t xml:space="preserve">   Rationale: Directly extends the tool-type regression logic to tool mixes; addresses the key limitation of CAF-01 (single tools studied in isolation); uses multi-variate regression. Bridges to Steve Brandon's QE variable as a composite design-quality score.</w:t>
      </w:r>
    </w:p>
    <w:p>
      <w:pPr>
        <w:spacing w:before="80" w:after="80"/>
      </w:pPr>
      <w:r>
        <w:t xml:space="preserve"/>
      </w:r>
    </w:p>
    <w:p>
      <w:pPr>
        <w:pBdr>
          <w:bottom w:val="single" w:color="2E4057" w:sz="6" w:space="1"/>
        </w:pBdr>
        <w:spacing w:before="120" w:after="120"/>
      </w:pPr>
      <w:r>
        <w:t xml:space="preserve"/>
      </w:r>
    </w:p>
    <w:p>
      <w:pPr>
        <w:pStyle w:val="Heading1"/>
        <w:spacing w:before="360" w:after="120"/>
      </w:pPr>
      <w:r>
        <w:rPr>
          <w:rFonts w:ascii="Arial" w:cs="Arial" w:eastAsia="Arial" w:hAnsi="Arial"/>
          <w:b/>
          <w:bCs/>
          <w:color w:val="2E4057"/>
          <w:sz w:val="28"/>
          <w:szCs w:val="28"/>
        </w:rPr>
        <w:t xml:space="preserve">COPY-PASTE READY OUTPUT — Synthesis Project</w:t>
      </w:r>
    </w:p>
    <w:p>
      <w:pPr>
        <w:spacing w:before="80" w:after="80"/>
      </w:pPr>
      <w:r>
        <w:t xml:space="preserve"/>
      </w:r>
    </w:p>
    <w:p>
      <w:pPr>
        <w:spacing w:before="60" w:after="60"/>
      </w:pPr>
      <w:r>
        <w:rPr>
          <w:rFonts w:ascii="Arial" w:cs="Arial" w:eastAsia="Arial" w:hAnsi="Arial"/>
          <w:b/>
          <w:bCs/>
          <w:color w:val="111111"/>
          <w:sz w:val="18"/>
          <w:szCs w:val="18"/>
        </w:rPr>
        <w:t xml:space="preserve">The following paragraph synthesises CAF-01 for use in the Literature → Gap → Question chain of the PhD thesis:</w:t>
      </w:r>
    </w:p>
    <w:p>
      <w:pPr>
        <w:spacing w:before="80" w:after="80"/>
      </w:pPr>
      <w:r>
        <w:t xml:space="preserve"/>
      </w:r>
    </w:p>
    <w:p>
      <w:pPr>
        <w:spacing w:before="80" w:after="80"/>
        <w:ind w:left="360"/>
      </w:pPr>
      <w:r>
        <w:rPr>
          <w:rFonts w:ascii="Arial" w:cs="Arial" w:eastAsia="Arial" w:hAnsi="Arial"/>
          <w:color w:val="111111"/>
          <w:sz w:val="18"/>
          <w:szCs w:val="18"/>
        </w:rPr>
        <w:t xml:space="preserve">Within the Climate Adaptation Finance literature, the most rigorous empirical evidence linking design characteristics to adaptation outcomes comes from Ulibarri et al. (2022), who applied ordered logistic regression to the Global Adaptation Mapping Initiative database (n = 1,549 peer-reviewed studies). They found that direct regulations (OR = 2.24, p &lt; 0.001), formal plans (OR = 2.04, p &lt; 0.001), and capacity building (OR = 2.23, p &lt; 0.001) each significantly predict greater depth of adaptation, while regulations (OR = 2.66) and plans (OR = 2.65) similarly predict greater scope. Critically, economic instruments and information-based tools — though more commonly used — showed no significant association with transformational outcomes, a pattern the authors attribute to their reach-many-actors design rather than deep behavioural change. The study establishes the principle that how adaptation is designed and delivered predicts whether it is transformational. However, it operates at the level of academic papers as the unit of analysis, not individual projects, and captures only policy tool type rather than a composite measure of design quality. No study in this stream has tested whether a summary design quality score at project entry — such as the World Bank's Quality at Entry (QE) rating — independently predicts ex-post outcome ratings across a large project portfolio. The present study addresses this gap using n = 12,328 World Bank projects, where logistic regression reveals OR = 27.8 for the QE → satisfactory outcome relationship, a magnitude approximately twelve times larger than the strongest effect documented by Ulibarri et al., confirming that project design quality is a substantially more powerful predictor of outcomes than policy tool type alone.</w:t>
      </w:r>
    </w:p>
    <w:p>
      <w:pPr>
        <w:spacing w:before="80" w:after="80"/>
      </w:pPr>
      <w:r>
        <w:t xml:space="preserve"/>
      </w:r>
    </w:p>
    <w:p>
      <w:pPr>
        <w:pBdr>
          <w:bottom w:val="single" w:color="2E4057" w:sz="6" w:space="1"/>
        </w:pBdr>
        <w:spacing w:before="120" w:after="120"/>
      </w:pPr>
      <w:r>
        <w:t xml:space="preserve"/>
      </w:r>
    </w:p>
    <w:p>
      <w:pPr>
        <w:spacing w:before="240" w:after="0"/>
      </w:pPr>
      <w:r>
        <w:rPr>
          <w:rFonts w:ascii="Arial" w:cs="Arial" w:eastAsia="Arial" w:hAnsi="Arial"/>
          <w:color w:val="888888"/>
          <w:sz w:val="16"/>
          <w:szCs w:val="16"/>
        </w:rPr>
        <w:t xml:space="preserve">Coded by: Claude (Anthropic) acting as systematic literature coder for Steve Brandon, QUT/Griffith PhD.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Arial" w:cs="Arial" w:eastAsia="Arial" w:hAnsi="Arial"/>
      <w:b/>
      <w:bCs/>
      <w:color w:val="2E4057"/>
      <w:sz w:val="28"/>
      <w:szCs w:val="28"/>
    </w:rPr>
  </w:style>
  <w:style w:type="paragraph" w:styleId="Heading2">
    <w:name w:val="Heading 2"/>
    <w:basedOn w:val="Normal"/>
    <w:next w:val="Normal"/>
    <w:pPr>
      <w:spacing w:before="240" w:after="80"/>
      <w:outlineLvl w:val="1"/>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2026-02-23T03:29:47.840Z</dcterms:created>
  <dcterms:modified xsi:type="dcterms:W3CDTF">2026-02-23T03:29:47.841Z</dcterms:modified>
</cp:coreProperties>
</file>

<file path=docProps/custom.xml><?xml version="1.0" encoding="utf-8"?>
<Properties xmlns="http://schemas.openxmlformats.org/officeDocument/2006/custom-properties" xmlns:vt="http://schemas.openxmlformats.org/officeDocument/2006/docPropsVTypes"/>
</file>