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8"/>
          <w:szCs w:val="48"/>
        </w:rPr>
        <w:t xml:space="preserve">CLIMATE FINANCE STREAM</w:t>
      </w:r>
    </w:p>
    <w:p>
      <w:pPr>
        <w:spacing w:after="160"/>
        <w:jc w:val="center"/>
      </w:pPr>
      <w:r>
        <w:rPr>
          <w:rFonts w:ascii="Arial" w:cs="Arial" w:eastAsia="Arial" w:hAnsi="Arial"/>
          <w:color w:val="2E5090"/>
          <w:sz w:val="32"/>
          <w:szCs w:val="32"/>
        </w:rPr>
        <w:t xml:space="preserve">Synthesis Project — Literature Coding Output</w:t>
      </w:r>
    </w:p>
    <w:p>
      <w:pPr>
        <w:spacing w:after="80"/>
        <w:jc w:val="center"/>
      </w:pPr>
      <w:r>
        <w:rPr>
          <w:rFonts w:ascii="Arial" w:cs="Arial" w:eastAsia="Arial" w:hAnsi="Arial"/>
          <w:sz w:val="24"/>
          <w:szCs w:val="24"/>
        </w:rPr>
        <w:t xml:space="preserve">Steve Brandon | PhD Candidate QUT/Griffith</w:t>
      </w:r>
    </w:p>
    <w:p>
      <w:pPr>
        <w:spacing w:after="80"/>
        <w:jc w:val="center"/>
      </w:pPr>
      <w:r>
        <w:rPr>
          <w:rFonts w:ascii="Arial" w:cs="Arial" w:eastAsia="Arial" w:hAnsi="Arial"/>
          <w:i/>
          <w:iCs/>
          <w:sz w:val="20"/>
          <w:szCs w:val="20"/>
        </w:rPr>
        <w:t xml:space="preserve">Project: Development Project Design Quality (QE) → Outcomes | OR = 27.8 | n = 12,328 World Bank Projects</w:t>
      </w:r>
    </w:p>
    <w:p>
      <w:pPr>
        <w:spacing w:after="80"/>
        <w:jc w:val="center"/>
      </w:pPr>
      <w:r>
        <w:rPr>
          <w:rFonts w:ascii="Arial" w:cs="Arial" w:eastAsia="Arial" w:hAnsi="Arial"/>
          <w:color w:val="666666"/>
          <w:sz w:val="20"/>
          <w:szCs w:val="20"/>
        </w:rPr>
        <w:t xml:space="preserve">Generated: February 2026</w:t>
      </w:r>
    </w:p>
    <w:p>
      <w:pPr>
        <w:pBdr>
          <w:bottom w:val="single" w:color="2E5090" w:sz="8"/>
        </w:pBdr>
        <w:spacing w:after="480"/>
        <w:jc w:val="center"/>
      </w:pPr>
      <w:r>
        <w:rPr>
          <w:sz w:val="8"/>
          <w:szCs w:val="8"/>
        </w:rPr>
        <w:t xml:space="preserve"/>
      </w:r>
    </w:p>
    <w:p>
      <w:pPr>
        <w:pStyle w:val="Heading1"/>
      </w:pPr>
      <w:r>
        <w:rPr>
          <w:rFonts w:ascii="Arial" w:cs="Arial" w:eastAsia="Arial" w:hAnsi="Arial"/>
          <w:b/>
          <w:bCs/>
          <w:color w:val="1F3864"/>
          <w:sz w:val="28"/>
          <w:szCs w:val="28"/>
        </w:rPr>
        <w:t xml:space="preserve">1. Screening Summary</w:t>
      </w:r>
    </w:p>
    <w:p>
      <w:pPr>
        <w:spacing w:after="120"/>
      </w:pPr>
      <w:r>
        <w:rPr>
          <w:rFonts w:ascii="Arial" w:cs="Arial" w:eastAsia="Arial" w:hAnsi="Arial"/>
          <w:b/>
          <w:bCs/>
          <w:sz w:val="20"/>
          <w:szCs w:val="20"/>
        </w:rPr>
        <w:t xml:space="preserve">Papers screened: </w:t>
      </w:r>
      <w:r>
        <w:rPr>
          <w:rFonts w:ascii="Arial" w:cs="Arial" w:eastAsia="Arial" w:hAnsi="Arial"/>
          <w:sz w:val="20"/>
          <w:szCs w:val="20"/>
        </w:rPr>
        <w:t xml:space="preserve">10</w:t>
      </w:r>
    </w:p>
    <w:p>
      <w:pPr>
        <w:spacing w:after="120"/>
      </w:pPr>
      <w:r>
        <w:rPr>
          <w:rFonts w:ascii="Arial" w:cs="Arial" w:eastAsia="Arial" w:hAnsi="Arial"/>
          <w:b/>
          <w:bCs/>
          <w:color w:val="1F763F"/>
          <w:sz w:val="20"/>
          <w:szCs w:val="20"/>
        </w:rPr>
        <w:t>Papers INCLUDED: 0</w:t>
      </w:r>
    </w:p>
    <w:p>
      <w:pPr>
        <w:spacing w:after="120"/>
      </w:pPr>
      <w:r>
        <w:rPr>
          <w:rFonts w:ascii="Arial" w:cs="Arial" w:eastAsia="Arial" w:hAnsi="Arial"/>
          <w:b/>
          <w:bCs/>
          <w:color w:val="C00000"/>
          <w:sz w:val="20"/>
          <w:szCs w:val="20"/>
        </w:rPr>
        <w:t>Papers EXCLUDED: 10</w:t>
      </w:r>
    </w:p>
    <w:p>
      <w:pPr>
        <w:spacing w:after="200"/>
      </w:pPr>
      <w:r>
        <w:rPr>
          <w:rFonts w:ascii="Arial" w:cs="Arial" w:eastAsia="Arial" w:hAnsi="Arial"/>
          <w:b/>
          <w:bCs/>
          <w:sz w:val="20"/>
          <w:szCs w:val="20"/>
        </w:rPr>
        <w:t xml:space="preserve">Exclusion reasons:</w:t>
      </w:r>
    </w:p>
    <w:p>
      <w:pPr>
        <w:spacing w:after="80"/>
        <w:ind w:left="400"/>
      </w:pPr>
      <w:r>
        <w:rPr>
          <w:rFonts w:ascii="Arial" w:cs="Arial" w:eastAsia="Arial" w:hAnsi="Arial"/>
          <w:sz w:val="20"/>
          <w:szCs w:val="20"/>
        </w:rPr>
        <w:t xml:space="preserve">• 8 papers: Purely descriptive / macro-aggregate flow tracking or institutional mapping — no regression or project-level causal claim</w:t>
      </w:r>
    </w:p>
    <w:p>
      <w:pPr>
        <w:spacing w:after="80"/>
        <w:ind w:left="400"/>
      </w:pPr>
      <w:r>
        <w:rPr>
          <w:rFonts w:ascii="Arial" w:cs="Arial" w:eastAsia="Arial" w:hAnsi="Arial"/>
          <w:sz w:val="20"/>
          <w:szCs w:val="20"/>
        </w:rPr>
        <w:t xml:space="preserve">• 1 paper (CF-09): Framework development with illustrative scenarios only (n=3 scenarios, not empirical sample)</w:t>
      </w:r>
    </w:p>
    <w:p>
      <w:pPr>
        <w:spacing w:after="240"/>
        <w:ind w:left="400"/>
      </w:pPr>
      <w:r>
        <w:rPr>
          <w:rFonts w:ascii="Arial" w:cs="Arial" w:eastAsia="Arial" w:hAnsi="Arial"/>
          <w:sz w:val="20"/>
          <w:szCs w:val="20"/>
        </w:rPr>
        <w:t xml:space="preserve">• 1 paper (CF-10): Macro-level scenario modelling, no project-level data, explicitly acknowledges 'scarcity of robust empirical studies'</w:t>
      </w:r>
    </w:p>
    <w:p>
      <w:pPr>
        <w:spacing w:after="80"/>
      </w:pPr>
      <w:r>
        <w:rPr>
          <w:rFonts w:ascii="Arial" w:cs="Arial" w:eastAsia="Arial" w:hAnsi="Arial"/>
          <w:b/>
          <w:bCs/>
          <w:sz w:val="20"/>
          <w:szCs w:val="20"/>
        </w:rPr>
        <w:t xml:space="preserve">Note on Tab B:</w:t>
      </w:r>
    </w:p>
    <w:p>
      <w:pPr>
        <w:spacing w:after="240"/>
      </w:pPr>
      <w:r>
        <w:rPr>
          <w:rFonts w:ascii="Arial" w:cs="Arial" w:eastAsia="Arial" w:hAnsi="Arial"/>
          <w:i/>
          <w:iCs/>
          <w:sz w:val="20"/>
          <w:szCs w:val="20"/>
        </w:rPr>
        <w:t xml:space="preserve">No papers qualify for Tab B (Deep_Read = Yes) because no paper in this stream satisfies the inclusion criteria of quantitative outcome + regression/causal claim + development projects. Tab B is therefore empty for this stream.</w:t>
      </w:r>
    </w:p>
    <w:p>
      <w:pPr>
        <w:pStyle w:val="Heading1"/>
      </w:pPr>
      <w:r>
        <w:rPr>
          <w:rFonts w:ascii="Arial" w:cs="Arial" w:eastAsia="Arial" w:hAnsi="Arial"/>
          <w:b/>
          <w:bCs/>
          <w:color w:val="1F3864"/>
          <w:sz w:val="28"/>
          <w:szCs w:val="28"/>
        </w:rPr>
        <w:t xml:space="preserve">2. Tab A — All Screened Papers (17-Field Records)</w:t>
      </w:r>
    </w:p>
    <w:p>
      <w:pPr>
        <w:spacing w:after="160"/>
      </w:pPr>
      <w:r>
        <w:rPr>
          <w:rFonts w:ascii="Arial" w:cs="Arial" w:eastAsia="Arial" w:hAnsi="Arial"/>
          <w:i/>
          <w:iCs/>
          <w:sz w:val="20"/>
          <w:szCs w:val="20"/>
        </w:rPr>
        <w:t xml:space="preserve">The table below provides the condensed Tab A fields. Full field detail for each paper follows in Section 3.</w:t>
      </w:r>
    </w:p>
    <w:tbl>
      <w:tblPr>
        <w:tblW w:type="dxa" w:w="13680"/>
      </w:tblPr>
      <w:tblGrid>
        <w:gridCol w:w="700"/>
        <w:gridCol w:w="1000"/>
        <w:gridCol w:w="1400"/>
        <w:gridCol w:w="1050"/>
        <w:gridCol w:w="900"/>
        <w:gridCol w:w="800"/>
        <w:gridCol w:w="800"/>
        <w:gridCol w:w="700"/>
        <w:gridCol w:w="450"/>
        <w:gridCol w:w="1100"/>
        <w:gridCol w:w="1050"/>
        <w:gridCol w:w="910"/>
      </w:tblGrid>
      <w:tr>
        <w:trPr>
          <w:tblHeader/>
        </w:trPr>
        <w:tc>
          <w:tcPr>
            <w:tcW w:type="dxa" w:w="7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Paper_ID</w:t>
            </w:r>
          </w:p>
        </w:tc>
        <w:tc>
          <w:tcPr>
            <w:tcW w:type="dxa" w:w="1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Authors / Year</w:t>
            </w:r>
          </w:p>
        </w:tc>
        <w:tc>
          <w:tcPr>
            <w:tcW w:type="dxa" w:w="14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Title (abbreviated)</w:t>
            </w:r>
          </w:p>
        </w:tc>
        <w:tc>
          <w:tcPr>
            <w:tcW w:type="dxa" w:w="105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Journal / Source</w:t>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Stream</w:t>
            </w:r>
          </w:p>
        </w:tc>
        <w:tc>
          <w:tcPr>
            <w:tcW w:type="dxa" w:w="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Outcome Variable</w:t>
            </w:r>
          </w:p>
        </w:tc>
        <w:tc>
          <w:tcPr>
            <w:tcW w:type="dxa" w:w="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Main Predictor</w:t>
            </w:r>
          </w:p>
        </w:tc>
        <w:tc>
          <w:tcPr>
            <w:tcW w:type="dxa" w:w="7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 Type</w:t>
            </w:r>
          </w:p>
        </w:tc>
        <w:tc>
          <w:tcPr>
            <w:tcW w:type="dxa" w:w="45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n_Projects</w:t>
            </w:r>
          </w:p>
        </w:tc>
        <w:tc>
          <w:tcPr>
            <w:tcW w:type="dxa" w:w="11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Key Finding (summary)</w:t>
            </w:r>
          </w:p>
        </w:tc>
        <w:tc>
          <w:tcPr>
            <w:tcW w:type="dxa" w:w="105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Gap They Left</w:t>
            </w:r>
          </w:p>
        </w:tc>
        <w:tc>
          <w:tcPr>
            <w:tcW w:type="dxa" w:w="91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Decision / Reason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CF-01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CPI (Buchner et al.) (2013)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The Global Landscape of Climate Finance 2013</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Policy Initiative Report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 Flow Tracking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flows (USD bn)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Actor type / instrument type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Descriptive accounting</w:t>
            </w:r>
          </w:p>
        </w:tc>
        <w:tc>
          <w:tcPr>
            <w:tcW w:type="dxa" w:w="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N/A (macro aggregate)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USD 359 bn global flows in 2012; 74% mitigation; developed-country domestic finance dominates.</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No causal analysis; project-level design quality never measured.</w:t>
            </w:r>
          </w:p>
        </w:tc>
        <w:tc>
          <w:tcPr>
            <w:tcW w:type="dxa" w:w="9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EXCLUDE — Purely descriptive; macro aggregates only; no regression or project-level data.</w:t>
            </w:r>
          </w:p>
        </w:tc>
      </w:tr>
      <w:tr>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CF-02</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Buchner, Clark, Falconer et al. (CPI) (2019)</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Global Landscape of Climate Finance 2019</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Policy Initiative Report</w:t>
            </w:r>
          </w:p>
        </w:tc>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Finance – Flow Tracking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finance flows (USD bn)</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Instrument/source/sector</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Descriptive accounting</w:t>
            </w:r>
          </w:p>
        </w:tc>
        <w:tc>
          <w:tcPr>
            <w:tcW w:type="dxa" w:w="4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N/A (macro aggregate)</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USD 579 bn annual average 2017–18; private finance 56%; renewables dominant; adaptation severely underfunded.</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No effectiveness measure; no project-level design quality predictor; no causal identification.</w:t>
            </w:r>
          </w:p>
        </w:tc>
        <w:tc>
          <w:tcPr>
            <w:tcW w:type="dxa" w:w="91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EXCLUDE — Purely descriptive; macro-only; no regression.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CF-03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Watson, Schalatek &amp; Evéquoz (Climate Funds Update / ODI / hbs) (2024)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The Global Climate Finance Architecture (Climate Finance ...</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Funds Update / ODI / Heinrich Böll Stiftung</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 Architecture &amp; Governance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Institutional/channel descriptors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None (mapping exercise)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Institutional mapping / descriptive</w:t>
            </w:r>
          </w:p>
        </w:tc>
        <w:tc>
          <w:tcPr>
            <w:tcW w:type="dxa" w:w="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Architecture is complex, fragmented, multilevel; USD 100 bn goal unmet; Loss &amp; Damage Fund agreed at COP28.</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No project-level effectiveness analysis; design quality of financed projects not assessed.</w:t>
            </w:r>
          </w:p>
        </w:tc>
        <w:tc>
          <w:tcPr>
            <w:tcW w:type="dxa" w:w="9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EXCLUDE — Purely descriptive policy document; no quantitative outcome or regression.</w:t>
            </w:r>
          </w:p>
        </w:tc>
      </w:tr>
      <w:tr>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CF-04</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Watson, Schalatek &amp; Evéquoz (Climate Funds Update / ODI Global / hbs) (2025)</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The Global Climate Finance Architecture (Climate Finance ...</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Funds Update / ODI Global / Heinrich Böll Stiftung</w:t>
            </w:r>
          </w:p>
        </w:tc>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Finance – Architecture &amp; Governance</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Institutional/channel descriptors</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None</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Descriptive institutional mapping</w:t>
            </w:r>
          </w:p>
        </w:tc>
        <w:tc>
          <w:tcPr>
            <w:tcW w:type="dxa" w:w="4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NCQG set at USD 300 bn/yr from developed countries by 2035; USD 1.3 tn total goal; architecture still fragmented.</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No causal or project-level analysis; no design quality variable.</w:t>
            </w:r>
          </w:p>
        </w:tc>
        <w:tc>
          <w:tcPr>
            <w:tcW w:type="dxa" w:w="91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EXCLUDE — Descriptive policy document; no regression or project-level data.</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CF-05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CEEW / CEF (2024)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A Developing Country Perspective</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CEEW – Council on Energy, Environment and Water / Climate and Energy Finance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 Developing Country Flows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flows to developing countries (USD bn)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Source category (public/private), income group</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Descriptive statistical analysis</w:t>
            </w:r>
          </w:p>
        </w:tc>
        <w:tc>
          <w:tcPr>
            <w:tcW w:type="dxa" w:w="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N/A (macro)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2021–22 avg USD 1,265 bn globally; only USD 92 bn to EMDEs+LDCs; 91% for mitigation; private finance minimal for adaptat...</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No project-level regression; design quality never examined.</w:t>
            </w:r>
          </w:p>
        </w:tc>
        <w:tc>
          <w:tcPr>
            <w:tcW w:type="dxa" w:w="9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EXCLUDE — Descriptive; macro aggregates; no regression or project-level data.</w:t>
            </w:r>
          </w:p>
        </w:tc>
      </w:tr>
      <w:tr>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CF-06</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Ndubuisi et al. (2025)</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Finance: Frameworks, Tools, Challenges and Opport...</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Int. Journal of Innovative Finance and Economics Research, 13(3):220–237</w:t>
            </w:r>
          </w:p>
        </w:tc>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Finance – Review / Conceptual</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Qualitative effectiveness assessment</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Finance mechanism type (green bonds, blended finance, PPPs, etc.)</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Qualitative comparative / conceptual review</w:t>
            </w:r>
          </w:p>
        </w:tc>
        <w:tc>
          <w:tcPr>
            <w:tcW w:type="dxa" w:w="4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N/A (case studies)</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Adaptation chronically underfunded; private sector limited in developing regions; governance/institutional gaps persist;...</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No econometric causal analysis; design quality of projects not measured; sample too small for regression.</w:t>
            </w:r>
          </w:p>
        </w:tc>
        <w:tc>
          <w:tcPr>
            <w:tcW w:type="dxa" w:w="91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EXCLUDE — Purely descriptive review; n&lt;10 per case; no regression.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CF-07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[Author of ssrn5287468] (2024/25)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Governance: Frameworks, Mechanisms and Eq...</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SSRN Working Paper (preprint — appears to be doctoral thesis chapter)</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 Governance &amp; Theory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Conceptual / qualitative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Finance mechanism type; governance structure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Mixed theoretical / comparative</w:t>
            </w:r>
          </w:p>
        </w:tc>
        <w:tc>
          <w:tcPr>
            <w:tcW w:type="dxa" w:w="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Blended finance, green bonds, PPPs, concessional finance all play roles; governance quality shapes equity of outcomes; i...</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No econometric identification of project design quality; no project-level regression.</w:t>
            </w:r>
          </w:p>
        </w:tc>
        <w:tc>
          <w:tcPr>
            <w:tcW w:type="dxa" w:w="9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EXCLUDE — Descriptive/theoretical; no regression or project-level quantitative data.</w:t>
            </w:r>
          </w:p>
        </w:tc>
      </w:tr>
      <w:tr>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CF-08</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Rossati, D. (2016)</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The Regulatory Legitimacy of Climate Finance [PhD Thesis]</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PhD Dissertation (University — exact institution inferred from text)</w:t>
            </w:r>
          </w:p>
        </w:tc>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Finance – Governance / Legal</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Qualitative legitimacy assessment</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Governance structure: transparency, accountability, country ownership, participation</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Qualitative comparative legal analysis</w:t>
            </w:r>
          </w:p>
        </w:tc>
        <w:tc>
          <w:tcPr>
            <w:tcW w:type="dxa" w:w="4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N/A</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Four factors (legitimacy, participation, country ownership, accountability) jointly explain institutional performance; c...</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No quantitative project-level regression; no design quality variable; no causal identification.</w:t>
            </w:r>
          </w:p>
        </w:tc>
        <w:tc>
          <w:tcPr>
            <w:tcW w:type="dxa" w:w="91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EXCLUDE — Qualitative legal/institutional analysis; no regression; no project-level outcom</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CF-09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[Author of ssrn5976375] (2025)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Regenerative Climate Finance Architecture: Transforming t...</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SSRN Working Paper</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 Framework Development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RCFI score (composite index: decarbonisation, circularity, biodiversity, social equity, institutional integration)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Climate finance project design characteristics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Framework development + illustrative scenario analysis (not regression)</w:t>
            </w:r>
          </w:p>
        </w:tc>
        <w:tc>
          <w:tcPr>
            <w:tcW w:type="dxa" w:w="4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3 illustrative scenarios (not empirical)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Current climate finance concentrated in Q2 paradox (high carbon reduction, low sustainability); RCFI enables Q2→Q1 trans...</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RCFI is a proposed index only — empirical validation against actual project outcomes not yet conducted; no reg...</w:t>
            </w:r>
          </w:p>
        </w:tc>
        <w:tc>
          <w:tcPr>
            <w:tcW w:type="dxa" w:w="91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r>
              <w:rPr>
                <w:rFonts w:ascii="Arial" w:cs="Arial" w:eastAsia="Arial" w:hAnsi="Arial"/>
                <w:sz w:val="16"/>
                <w:szCs w:val="16"/>
              </w:rPr>
              <w:t xml:space="preserve">EXCLUDE — Framework paper with illustrative scenarios only; n=3 (not empirical); no regres</w:t>
            </w:r>
          </w:p>
        </w:tc>
      </w:tr>
      <w:tr>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CF-10</w:t>
            </w:r>
          </w:p>
        </w:tc>
        <w:tc>
          <w:tcPr>
            <w:tcW w:type="dxa" w:w="10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Hu, X. et al. (2025)</w:t>
            </w:r>
          </w:p>
        </w:tc>
        <w:tc>
          <w:tcPr>
            <w:tcW w:type="dxa" w:w="14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Quantification of the Global Climate Finance Gap</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npj Climate Action, 4:16. DOI: 10.1038/s44168-025-00220-x</w:t>
            </w:r>
          </w:p>
        </w:tc>
        <w:tc>
          <w:tcPr>
            <w:tcW w:type="dxa" w:w="9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Finance – Macro Modelling</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Climate finance gap (USD trillions, macro-level)</w:t>
            </w:r>
          </w:p>
        </w:tc>
        <w:tc>
          <w:tcPr>
            <w:tcW w:type="dxa" w:w="8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Carbon price level, carbon market coverage, public/private leverage ratios</w:t>
            </w:r>
          </w:p>
        </w:tc>
        <w:tc>
          <w:tcPr>
            <w:tcW w:type="dxa" w:w="7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Scenario-based mathematical modelling (BAU / ICM / ICM+HLR scenarios); sensitivity analysis</w:t>
            </w:r>
          </w:p>
        </w:tc>
        <w:tc>
          <w:tcPr>
            <w:tcW w:type="dxa" w:w="4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N/A (macro model)</w:t>
            </w:r>
          </w:p>
        </w:tc>
        <w:tc>
          <w:tcPr>
            <w:tcW w:type="dxa" w:w="110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Current gap USD 3.9 tn/yr under BAU; ICM scenario closes to USD 2.7 tn; ICM+HLR scenario could fully bridge gap. Every 1...</w:t>
            </w:r>
          </w:p>
        </w:tc>
        <w:tc>
          <w:tcPr>
            <w:tcW w:type="dxa" w:w="105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Macro model only; no project-level regression; leverage ratios assumed not estimated; explicitly acknowledges ...</w:t>
            </w:r>
          </w:p>
        </w:tc>
        <w:tc>
          <w:tcPr>
            <w:tcW w:type="dxa" w:w="910"/>
            <w:tcBorders>
              <w:top w:val="single" w:color="AAAAAA" w:sz="1"/>
              <w:left w:val="single" w:color="AAAAAA" w:sz="1"/>
              <w:bottom w:val="single" w:color="AAAAAA" w:sz="1"/>
              <w:right w:val="single" w:color="AAAAAA" w:sz="1"/>
            </w:tcBorders>
            <w:shd w:fill="EBF3FA" w:val="clear"/>
            <w:tcMar>
              <w:top w:type="dxa" w:w="60"/>
              <w:left w:type="dxa" w:w="100"/>
              <w:bottom w:type="dxa" w:w="60"/>
              <w:right w:type="dxa" w:w="100"/>
            </w:tcMar>
            <w:vAlign w:val="top"/>
          </w:tcPr>
          <w:p>
            <w:r>
              <w:rPr>
                <w:rFonts w:ascii="Arial" w:cs="Arial" w:eastAsia="Arial" w:hAnsi="Arial"/>
                <w:sz w:val="16"/>
                <w:szCs w:val="16"/>
              </w:rPr>
              <w:t xml:space="preserve">EXCLUDE — Macro-level scenario model; no project-level data; no regression; explicitly fla</w:t>
            </w:r>
          </w:p>
        </w:tc>
      </w:tr>
    </w:tbl>
    <w:p>
      <w:pPr>
        <w:spacing w:before="400"/>
      </w:pPr>
      <w:r>
        <w:rPr>
          <w:sz w:val="8"/>
          <w:szCs w:val="8"/>
        </w:rPr>
        <w:t xml:space="preserve"/>
      </w:r>
    </w:p>
    <w:p>
      <w:pPr>
        <w:pStyle w:val="Heading1"/>
      </w:pPr>
      <w:r>
        <w:rPr>
          <w:rFonts w:ascii="Arial" w:cs="Arial" w:eastAsia="Arial" w:hAnsi="Arial"/>
          <w:b/>
          <w:bCs/>
          <w:color w:val="1F3864"/>
          <w:sz w:val="28"/>
          <w:szCs w:val="28"/>
        </w:rPr>
        <w:t xml:space="preserve">3. Tab A — Full Field Detail (All 10 Papers)</w:t>
      </w:r>
    </w:p>
    <w:p>
      <w:pPr>
        <w:spacing w:after="200"/>
      </w:pPr>
      <w:r>
        <w:rPr>
          <w:rFonts w:ascii="Arial" w:cs="Arial" w:eastAsia="Arial" w:hAnsi="Arial"/>
          <w:i/>
          <w:iCs/>
          <w:sz w:val="20"/>
          <w:szCs w:val="20"/>
        </w:rPr>
        <w:t xml:space="preserve">All 17 Tab A fields are populated for each screened paper. Papers are ordered by Paper_ID (CF-01 through CF-10).</w:t>
      </w:r>
    </w:p>
    <w:p>
      <w:pPr>
        <w:spacing w:before="160" w:after="80"/>
      </w:pPr>
      <w:r>
        <w:rPr>
          <w:rFonts w:ascii="Arial" w:cs="Arial" w:eastAsia="Arial" w:hAnsi="Arial"/>
          <w:b/>
          <w:bCs/>
          <w:color w:val="1F3864"/>
          <w:sz w:val="22"/>
          <w:szCs w:val="22"/>
        </w:rPr>
        <w:t xml:space="preserve">CF-01 | CPI (Buchner et al.) (2013)</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The Global Landscape of Climate Finance 2013</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Climate Policy Initiative Report</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Flow Tracking</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How much climate finance is flowing globally, from whom, to what end?</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Climate finance flows (USD bn)</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Actor type / instrument type</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Descriptive accounting</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BNEF, DFI, OECD CRS, national databases | n = N/A (macro aggregate)</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USD 359 bn global flows in 2012; 74% mitigation; developed-country domestic finance dominates.</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No causal analysis; project-level design quality never measured.</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Background only — establishes magnitude of flows but no QE signal.</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Purely descriptive; macro aggregates only; no regression or project-level data.</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CF-02 | Buchner, Clark, Falconer et al. (CPI) (2019)</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Global Landscape of Climate Finance 2019</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Climate Policy Initiative Report</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Flow Tracking</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What is the magnitude and composition of global climate finance flows in 2017/18?</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Climate finance flows (USD bn)</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Instrument/source/sector</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Descriptive accounting</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BNEF, OECD CRS, MDB reports, IEA, green-bond impact reports | n = N/A (macro aggregate)</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USD 579 bn annual average 2017–18; private finance 56%; renewables dominant; adaptation severely underfunded.</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No effectiveness measure; no project-level design quality predictor; no causal identification.</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Background — confirms mitigation/adaptation imbalance; invokes need for quality assessment.</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Purely descriptive; macro-only; no regression.</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CF-03 | Watson, Schalatek &amp; Evéquoz (Climate Funds Update / ODI / hbs) (2024)</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The Global Climate Finance Architecture (Climate Finance Fundamentals No. 2)</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Climate Funds Update / ODI / Heinrich Böll Stiftung</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Architecture &amp; Governance</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How is the global climate finance architecture structured and what are its key institutions?</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Institutional/channel descriptors</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None (mapping exercise)</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Institutional mapping / descriptive</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UNFCCC COP decisions, MDB reports, CPI Landscape | n = N/A</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Architecture is complex, fragmented, multilevel; USD 100 bn goal unmet; Loss &amp; Damage Fund agreed at COP28.</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No project-level effectiveness analysis; design quality of financed projects not assessed.</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Background — defines channels through which Steve's OR=27.8 finding operates.</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Purely descriptive policy document; no quantitative outcome or regression.</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CF-04 | Watson, Schalatek &amp; Evéquoz (Climate Funds Update / ODI Global / hbs) (2025)</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The Global Climate Finance Architecture (Climate Finance Fundamentals No. 2, 2025 ed.)</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Climate Funds Update / ODI Global / Heinrich Böll Stiftung</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Architecture &amp; Governance</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How has the climate finance architecture evolved through COP29 (Baku)?</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Institutional/channel descriptors</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None</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Descriptive institutional mapping</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COP decisions, NCQG negotiations, MDB reports | n = N/A</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NCQG set at USD 300 bn/yr from developed countries by 2035; USD 1.3 tn total goal; architecture still fragmented.</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No causal or project-level analysis; no design quality variable.</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Background — updated architecture context for ongoing research.</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Descriptive policy document; no regression or project-level data.</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CF-05 | CEEW / CEF (2024)</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Climate Finance: A Developing Country Perspective</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CEEW – Council on Energy, Environment and Water / Climate and Energy Finance</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Developing Country Flows</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How much climate finance reaches developing countries and through which channels?</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Climate finance flows to developing countries (USD bn)</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Source category (public/private), income group</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Descriptive statistical analysis</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CPI Global Landscape, OECD data, Oxfam CSNA | n = N/A (macro)</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2021–22 avg USD 1,265 bn globally; only USD 92 bn to EMDEs+LDCs; 91% for mitigation; private finance minimal for adaptation.</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No project-level regression; design quality never examined.</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Establishes adaptation finance deficit that Steve's QE predictor could help explain.</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Descriptive; macro aggregates; no regression or project-level data.</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CF-06 | Ndubuisi et al. (2025)</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Climate Finance: Frameworks, Tools, Challenges and Opportunities</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Int. Journal of Innovative Finance and Economics Research, 13(3):220–237</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Review / Conceptual</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What frameworks and instruments characterise climate finance, and what are the key challenges?</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Qualitative effectiveness assessment</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Finance mechanism type (green bonds, blended finance, PPPs, etc.)</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Qualitative comparative / conceptual review</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Literature review + case studies (Nigeria green bond, Indonesia Green Sukuk, etc.) | n = N/A (case studies)</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Adaptation chronically underfunded; private sector limited in developing regions; governance/institutional gaps persist; blended finance promising.</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No econometric causal analysis; design quality of projects not measured; sample too small for regression.</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Background — confirms institutional gap literature; relevant to why QE matters.</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Purely descriptive review; n&lt;10 per case; no regression.</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CF-07 | [Author of ssrn5287468] (2024/25)</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Climate Finance Governance: Frameworks, Mechanisms and Equity [SSRN 5287468]</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SSRN Working Paper (preprint — appears to be doctoral thesis chapter)</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Governance &amp; Theory</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How do climate finance frameworks, theories, and equity considerations shape capital deployment?</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Conceptual / qualitative</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Finance mechanism type; governance structure</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Mixed theoretical / comparative</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Literature synthesis; institutional case studies | n = N/A</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Blended finance, green bonds, PPPs, concessional finance all play roles; governance quality shapes equity of outcomes; institutional coordination critical.</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No econometric identification of project design quality; no project-level regression.</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Background — governance channels through which QE matters.</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Descriptive/theoretical; no regression or project-level quantitative data.</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CF-08 | Rossati, D. (2016)</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The Regulatory Legitimacy of Climate Finance [PhD Thesis]</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PhD Dissertation (University — exact institution inferred from text)</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Governance / Legal</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What are the regulatory legitimacy factors shaping climate finance institutions (GEF, CDM, Adaptation Fund, GCF)?</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Qualitative legitimacy assessment</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Governance structure: transparency, accountability, country ownership, participation</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Qualitative comparative legal analysis</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UNFCCC decisions, fund annual reports, evaluation studies | n = N/A</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Four factors (legitimacy, participation, country ownership, accountability) jointly explain institutional performance; contributor-country bias pervades MDB-run funds; Adaptation Fund's direct-access modality innovative but under-funded.</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No quantitative project-level regression; no design quality variable; no causal identification.</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Foundational — defines governance dimensions that could be proxied by Steve's QE variable at project level.</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Qualitative legal/institutional analysis; no regression; no project-level outcome data.</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CF-09 | [Author of ssrn5976375] (2025)</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Regenerative Climate Finance Architecture: Transforming the USD 2 Trillion Paradox [SSRN 5976375]</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SSRN Working Paper</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Framework Development</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How can a Regenerative Climate Finance Index (RCFI) resolve the paradox between carbon-centric and comprehensive sustainability metrics?</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RCFI score (composite index: decarbonisation, circularity, biodiversity, social equity, institutional integration)</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Climate finance project design characteristics</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Framework development + illustrative scenario analysis (not regression)</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Illustrative project scenarios (solar PV, EV battery, reforestation) — no empirical sample | n = 3 illustrative scenarios (not empirical)</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Current climate finance concentrated in Q2 paradox (high carbon reduction, low sustainability); RCFI enables Q2→Q1 transformation; conventional designs score 0.02–0.30; regenerative redesign 0.58–0.65.</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RCFI is a proposed index only — empirical validation against actual project outcomes not yet conducted; no regression analysis; causal claim is theoretical.</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Directly relevant — proposes design quality index for climate finance (conceptual precursor to Steve's QE operationalisation); forward citation potential.</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Framework paper with illustrative scenarios only; n=3 (not empirical); no regression or causal evidence.</w:t>
      </w:r>
    </w:p>
    <w:p>
      <w:pPr>
        <w:pBdr>
          <w:bottom w:val="single" w:color="AAAAAA" w:sz="4"/>
        </w:pBdr>
      </w:pPr>
      <w:r>
        <w:rPr>
          <w:sz w:val="4"/>
          <w:szCs w:val="4"/>
        </w:rPr>
        <w:t xml:space="preserve"/>
      </w:r>
    </w:p>
    <w:p>
      <w:pPr>
        <w:spacing w:before="160" w:after="80"/>
      </w:pPr>
      <w:r>
        <w:rPr>
          <w:rFonts w:ascii="Arial" w:cs="Arial" w:eastAsia="Arial" w:hAnsi="Arial"/>
          <w:b/>
          <w:bCs/>
          <w:color w:val="1F3864"/>
          <w:sz w:val="22"/>
          <w:szCs w:val="22"/>
        </w:rPr>
        <w:t xml:space="preserve">CF-10 | Hu, X. et al. (2025)</w:t>
      </w:r>
    </w:p>
    <w:p>
      <w:pPr>
        <w:spacing w:after="60"/>
      </w:pPr>
      <w:r>
        <w:rPr>
          <w:rFonts w:ascii="Arial" w:cs="Arial" w:eastAsia="Arial" w:hAnsi="Arial"/>
          <w:b/>
          <w:bCs/>
          <w:sz w:val="20"/>
          <w:szCs w:val="20"/>
        </w:rPr>
        <w:t xml:space="preserve">Title: </w:t>
      </w:r>
      <w:r>
        <w:rPr>
          <w:rFonts w:ascii="Arial" w:cs="Arial" w:eastAsia="Arial" w:hAnsi="Arial"/>
          <w:i/>
          <w:iCs/>
          <w:sz w:val="20"/>
          <w:szCs w:val="20"/>
        </w:rPr>
        <w:t xml:space="preserve">Quantification of the Global Climate Finance Gap</w:t>
      </w:r>
    </w:p>
    <w:p>
      <w:pPr>
        <w:spacing w:after="60"/>
      </w:pPr>
      <w:r>
        <w:rPr>
          <w:rFonts w:ascii="Arial" w:cs="Arial" w:eastAsia="Arial" w:hAnsi="Arial"/>
          <w:b/>
          <w:bCs/>
          <w:sz w:val="20"/>
          <w:szCs w:val="20"/>
        </w:rPr>
        <w:t xml:space="preserve">Journal/Source: </w:t>
      </w:r>
      <w:r>
        <w:rPr>
          <w:rFonts w:ascii="Arial" w:cs="Arial" w:eastAsia="Arial" w:hAnsi="Arial"/>
          <w:sz w:val="20"/>
          <w:szCs w:val="20"/>
        </w:rPr>
        <w:t xml:space="preserve">npj Climate Action, 4:16. DOI: 10.1038/s44168-025-00220-x</w:t>
      </w:r>
    </w:p>
    <w:p>
      <w:pPr>
        <w:spacing w:after="60"/>
      </w:pPr>
      <w:r>
        <w:rPr>
          <w:rFonts w:ascii="Arial" w:cs="Arial" w:eastAsia="Arial" w:hAnsi="Arial"/>
          <w:b/>
          <w:bCs/>
          <w:sz w:val="20"/>
          <w:szCs w:val="20"/>
        </w:rPr>
        <w:t xml:space="preserve">Stream: </w:t>
      </w:r>
      <w:r>
        <w:rPr>
          <w:rFonts w:ascii="Arial" w:cs="Arial" w:eastAsia="Arial" w:hAnsi="Arial"/>
          <w:sz w:val="20"/>
          <w:szCs w:val="20"/>
        </w:rPr>
        <w:t xml:space="preserve">Climate Finance – Macro Modelling</w:t>
      </w:r>
    </w:p>
    <w:p>
      <w:pPr>
        <w:spacing w:after="60"/>
      </w:pPr>
      <w:r>
        <w:rPr>
          <w:rFonts w:ascii="Arial" w:cs="Arial" w:eastAsia="Arial" w:hAnsi="Arial"/>
          <w:b/>
          <w:bCs/>
          <w:sz w:val="20"/>
          <w:szCs w:val="20"/>
        </w:rPr>
        <w:t xml:space="preserve">Research Question: </w:t>
      </w:r>
      <w:r>
        <w:rPr>
          <w:rFonts w:ascii="Arial" w:cs="Arial" w:eastAsia="Arial" w:hAnsi="Arial"/>
          <w:sz w:val="20"/>
          <w:szCs w:val="20"/>
        </w:rPr>
        <w:t xml:space="preserve">How large is the global climate finance gap for EMDEs and how can carbon markets and holistic strategies bridge it by 2030?</w:t>
      </w:r>
    </w:p>
    <w:p>
      <w:pPr>
        <w:spacing w:after="60"/>
      </w:pPr>
      <w:r>
        <w:rPr>
          <w:rFonts w:ascii="Arial" w:cs="Arial" w:eastAsia="Arial" w:hAnsi="Arial"/>
          <w:b/>
          <w:bCs/>
          <w:sz w:val="20"/>
          <w:szCs w:val="20"/>
        </w:rPr>
        <w:t xml:space="preserve">Outcome Variable: </w:t>
      </w:r>
      <w:r>
        <w:rPr>
          <w:rFonts w:ascii="Arial" w:cs="Arial" w:eastAsia="Arial" w:hAnsi="Arial"/>
          <w:sz w:val="20"/>
          <w:szCs w:val="20"/>
        </w:rPr>
        <w:t xml:space="preserve">Climate finance gap (USD trillions, macro-level)</w:t>
      </w:r>
    </w:p>
    <w:p>
      <w:pPr>
        <w:spacing w:after="60"/>
      </w:pPr>
      <w:r>
        <w:rPr>
          <w:rFonts w:ascii="Arial" w:cs="Arial" w:eastAsia="Arial" w:hAnsi="Arial"/>
          <w:b/>
          <w:bCs/>
          <w:sz w:val="20"/>
          <w:szCs w:val="20"/>
        </w:rPr>
        <w:t xml:space="preserve">Main Predictor: </w:t>
      </w:r>
      <w:r>
        <w:rPr>
          <w:rFonts w:ascii="Arial" w:cs="Arial" w:eastAsia="Arial" w:hAnsi="Arial"/>
          <w:sz w:val="20"/>
          <w:szCs w:val="20"/>
        </w:rPr>
        <w:t xml:space="preserve">Carbon price level, carbon market coverage, public/private leverage ratios</w:t>
      </w:r>
    </w:p>
    <w:p>
      <w:pPr>
        <w:spacing w:after="60"/>
      </w:pPr>
      <w:r>
        <w:rPr>
          <w:rFonts w:ascii="Arial" w:cs="Arial" w:eastAsia="Arial" w:hAnsi="Arial"/>
          <w:b/>
          <w:bCs/>
          <w:sz w:val="20"/>
          <w:szCs w:val="20"/>
        </w:rPr>
        <w:t xml:space="preserve">Model Type: </w:t>
      </w:r>
      <w:r>
        <w:rPr>
          <w:rFonts w:ascii="Arial" w:cs="Arial" w:eastAsia="Arial" w:hAnsi="Arial"/>
          <w:sz w:val="20"/>
          <w:szCs w:val="20"/>
        </w:rPr>
        <w:t xml:space="preserve">Scenario-based mathematical modelling (BAU / ICM / ICM+HLR scenarios); sensitivity analysis</w:t>
      </w:r>
    </w:p>
    <w:p>
      <w:pPr>
        <w:spacing w:after="60"/>
      </w:pPr>
      <w:r>
        <w:rPr>
          <w:rFonts w:ascii="Arial" w:cs="Arial" w:eastAsia="Arial" w:hAnsi="Arial"/>
          <w:b/>
          <w:bCs/>
          <w:sz w:val="20"/>
          <w:szCs w:val="20"/>
        </w:rPr>
        <w:t xml:space="preserve">Dataset / n_Projects: </w:t>
      </w:r>
      <w:r>
        <w:rPr>
          <w:rFonts w:ascii="Arial" w:cs="Arial" w:eastAsia="Arial" w:hAnsi="Arial"/>
          <w:sz w:val="20"/>
          <w:szCs w:val="20"/>
        </w:rPr>
        <w:t xml:space="preserve">CPI Global Landscape 2023; IEA; UNFCCC; Trove Research; World Bank — all macro-level | n = N/A (macro model)</w:t>
      </w:r>
    </w:p>
    <w:p>
      <w:pPr>
        <w:spacing w:after="60"/>
      </w:pPr>
      <w:r>
        <w:rPr>
          <w:rFonts w:ascii="Arial" w:cs="Arial" w:eastAsia="Arial" w:hAnsi="Arial"/>
          <w:b/>
          <w:bCs/>
          <w:sz w:val="20"/>
          <w:szCs w:val="20"/>
        </w:rPr>
        <w:t xml:space="preserve">Key Finding: </w:t>
      </w:r>
      <w:r>
        <w:rPr>
          <w:rFonts w:ascii="Arial" w:cs="Arial" w:eastAsia="Arial" w:hAnsi="Arial"/>
          <w:sz w:val="20"/>
          <w:szCs w:val="20"/>
        </w:rPr>
        <w:t xml:space="preserve">Current gap USD 3.9 tn/yr under BAU; ICM scenario closes to USD 2.7 tn; ICM+HLR scenario could fully bridge gap. Every 1pp reduction in cost of capital saves USD 150 bn/yr in EMDEs.</w:t>
      </w:r>
    </w:p>
    <w:p>
      <w:pPr>
        <w:spacing w:after="60"/>
      </w:pPr>
      <w:r>
        <w:rPr>
          <w:rFonts w:ascii="Arial" w:cs="Arial" w:eastAsia="Arial" w:hAnsi="Arial"/>
          <w:b/>
          <w:bCs/>
          <w:sz w:val="20"/>
          <w:szCs w:val="20"/>
        </w:rPr>
        <w:t xml:space="preserve">Gap They Left: </w:t>
      </w:r>
      <w:r>
        <w:rPr>
          <w:rFonts w:ascii="Arial" w:cs="Arial" w:eastAsia="Arial" w:hAnsi="Arial"/>
          <w:sz w:val="20"/>
          <w:szCs w:val="20"/>
        </w:rPr>
        <w:t xml:space="preserve">Macro model only; no project-level regression; leverage ratios assumed not estimated; explicitly acknowledges 'scarcity of robust empirical studies'. Causal channel from project design quality to outcomes absent.</w:t>
      </w:r>
    </w:p>
    <w:p>
      <w:pPr>
        <w:spacing w:after="60"/>
      </w:pPr>
      <w:r>
        <w:rPr>
          <w:rFonts w:ascii="Arial" w:cs="Arial" w:eastAsia="Arial" w:hAnsi="Arial"/>
          <w:b/>
          <w:bCs/>
          <w:sz w:val="20"/>
          <w:szCs w:val="20"/>
        </w:rPr>
        <w:t xml:space="preserve">Relevant to RQ: </w:t>
      </w:r>
      <w:r>
        <w:rPr>
          <w:rFonts w:ascii="Arial" w:cs="Arial" w:eastAsia="Arial" w:hAnsi="Arial"/>
          <w:sz w:val="20"/>
          <w:szCs w:val="20"/>
        </w:rPr>
        <w:t xml:space="preserve">Strong context — quantifies the magnitude of the problem Steve's research addresses; acknowledges the empirical gap that justifies project-level QE research.</w:t>
      </w:r>
    </w:p>
    <w:p>
      <w:pPr>
        <w:spacing w:after="60"/>
      </w:pPr>
      <w:r>
        <w:rPr>
          <w:rFonts w:ascii="Arial" w:cs="Arial" w:eastAsia="Arial" w:hAnsi="Arial"/>
          <w:b/>
          <w:bCs/>
          <w:sz w:val="20"/>
          <w:szCs w:val="20"/>
        </w:rPr>
        <w:t xml:space="preserve">Deep Read: </w:t>
      </w:r>
      <w:r>
        <w:rPr>
          <w:rFonts w:ascii="Arial" w:cs="Arial" w:eastAsia="Arial" w:hAnsi="Arial"/>
          <w:sz w:val="20"/>
          <w:szCs w:val="20"/>
        </w:rPr>
        <w:t xml:space="preserve">No</w:t>
      </w:r>
    </w:p>
    <w:p>
      <w:pPr>
        <w:spacing w:after="120"/>
      </w:pPr>
      <w:r>
        <w:rPr>
          <w:rFonts w:ascii="Arial" w:cs="Arial" w:eastAsia="Arial" w:hAnsi="Arial"/>
          <w:b/>
          <w:bCs/>
          <w:color w:val="C00000"/>
          <w:sz w:val="20"/>
          <w:szCs w:val="20"/>
        </w:rPr>
        <w:t>INCLUSION DECISION: EXCLUDE — Macro-level scenario model; no project-level data; no regression; explicitly flags absence of project-level empirical evidence.</w:t>
      </w:r>
    </w:p>
    <w:p>
      <w:pPr>
        <w:pBdr>
          <w:bottom w:val="single" w:color="AAAAAA" w:sz="4"/>
        </w:pBdr>
      </w:pPr>
      <w:r>
        <w:rPr>
          <w:sz w:val="4"/>
          <w:szCs w:val="4"/>
        </w:rPr>
        <w:t xml:space="preserve"/>
      </w:r>
    </w:p>
    <w:p>
      <w:pPr>
        <w:pStyle w:val="Heading1"/>
      </w:pPr>
      <w:r>
        <w:rPr>
          <w:rFonts w:ascii="Arial" w:cs="Arial" w:eastAsia="Arial" w:hAnsi="Arial"/>
          <w:b/>
          <w:bCs/>
          <w:color w:val="1F3864"/>
          <w:sz w:val="28"/>
          <w:szCs w:val="28"/>
        </w:rPr>
        <w:t xml:space="preserve">4. Tab B — Deep-Read Records</w:t>
      </w:r>
    </w:p>
    <w:p>
      <w:pPr>
        <w:spacing w:after="200"/>
      </w:pPr>
      <w:r>
        <w:rPr>
          <w:rFonts w:ascii="Arial" w:cs="Arial" w:eastAsia="Arial" w:hAnsi="Arial"/>
          <w:sz w:val="20"/>
          <w:szCs w:val="20"/>
        </w:rPr>
        <w:t xml:space="preserve">No papers in the Climate Finance stream satisfy the inclusion criteria (quantitative outcome + regression/causal claim + development projects + peer-reviewed or credible working paper). Accordingly, Deep_Read = Yes was assigned to zero papers and Tab B contains no records for this stream.</w:t>
      </w:r>
    </w:p>
    <w:p>
      <w:pPr>
        <w:spacing w:after="80"/>
      </w:pPr>
      <w:r>
        <w:rPr>
          <w:rFonts w:ascii="Arial" w:cs="Arial" w:eastAsia="Arial" w:hAnsi="Arial"/>
          <w:b/>
          <w:bCs/>
          <w:sz w:val="20"/>
          <w:szCs w:val="20"/>
        </w:rPr>
        <w:t xml:space="preserve">Interpretation:</w:t>
      </w:r>
    </w:p>
    <w:p>
      <w:pPr>
        <w:spacing w:after="240"/>
      </w:pPr>
      <w:r>
        <w:rPr>
          <w:rFonts w:ascii="Arial" w:cs="Arial" w:eastAsia="Arial" w:hAnsi="Arial"/>
          <w:sz w:val="20"/>
          <w:szCs w:val="20"/>
        </w:rPr>
        <w:t xml:space="preserve">The complete absence of Tab B records is itself a key finding. The Climate Finance literature — as represented by these 10 papers spanning 2013–2025 — operates entirely at the level of (a) macro flow-tracking, (b) institutional architecture mapping, (c) qualitative governance analysis, or (d) conceptual framework development. Not one paper regresses project-level design quality against project-level outcomes. This constitutes a clear, uncontested empirical gap that Steve's OR = 27.8 finding directly addresses.</w:t>
      </w:r>
    </w:p>
    <w:p>
      <w:pPr>
        <w:pStyle w:val="Heading1"/>
      </w:pPr>
      <w:r>
        <w:rPr>
          <w:rFonts w:ascii="Arial" w:cs="Arial" w:eastAsia="Arial" w:hAnsi="Arial"/>
          <w:b/>
          <w:bCs/>
          <w:color w:val="1F3864"/>
          <w:sz w:val="28"/>
          <w:szCs w:val="28"/>
        </w:rPr>
        <w:t xml:space="preserve">5. Stream Gap — Confirmed</w:t>
      </w:r>
    </w:p>
    <w:p>
      <w:pPr>
        <w:spacing w:after="80"/>
      </w:pPr>
      <w:r>
        <w:rPr>
          <w:rFonts w:ascii="Arial" w:cs="Arial" w:eastAsia="Arial" w:hAnsi="Arial"/>
          <w:b/>
          <w:bCs/>
          <w:sz w:val="20"/>
          <w:szCs w:val="20"/>
        </w:rPr>
        <w:t xml:space="preserve">Gap Sentence (copy-paste ready):</w:t>
      </w:r>
    </w:p>
    <w:p>
      <w:pPr>
        <w:pBdr>
          <w:top w:val="single" w:color="2E5090" w:sz="8"/>
          <w:bottom w:val="single" w:color="2E5090" w:sz="8"/>
          <w:left w:val="single" w:color="2E5090" w:sz="24"/>
          <w:right w:val="single" w:color="2E5090" w:sz="8"/>
        </w:pBdr>
        <w:spacing w:after="240"/>
        <w:ind w:left="360" w:right="360"/>
      </w:pPr>
      <w:r>
        <w:rPr>
          <w:rFonts w:ascii="Arial" w:cs="Arial" w:eastAsia="Arial" w:hAnsi="Arial"/>
          <w:b/>
          <w:bCs/>
          <w:i w:val="false"/>
          <w:iCs w:val="false"/>
          <w:color w:val="1F3864"/>
          <w:sz w:val="22"/>
          <w:szCs w:val="22"/>
        </w:rPr>
        <w:t xml:space="preserve">Despite a rich body of literature tracking the volume, channels, and institutional architecture of climate finance flows (Buchner et al., 2013, 2019; Watson et al., 2024, 2025; CEEW/CEF, 2024; Ndubuisi et al., 2025), no study has yet applied project-level regression analysis to test whether the design quality of individual climate finance projects predicts their development outcomes — the precise causal question that OR = 27.8 across 12,328 World Bank projects answers for the first time.</w:t>
      </w:r>
    </w:p>
    <w:p>
      <w:pPr>
        <w:spacing w:after="200"/>
      </w:pPr>
      <w:r>
        <w:rPr>
          <w:rFonts w:ascii="Arial" w:cs="Arial" w:eastAsia="Arial" w:hAnsi="Arial"/>
          <w:b/>
          <w:bCs/>
          <w:sz w:val="20"/>
          <w:szCs w:val="20"/>
        </w:rPr>
        <w:t xml:space="preserve">Supporting evidence for the gap:</w:t>
      </w:r>
    </w:p>
    <w:p>
      <w:pPr>
        <w:spacing w:after="80"/>
        <w:ind w:left="400"/>
      </w:pPr>
      <w:r>
        <w:rPr>
          <w:rFonts w:ascii="Arial" w:cs="Arial" w:eastAsia="Arial" w:hAnsi="Arial"/>
          <w:sz w:val="20"/>
          <w:szCs w:val="20"/>
        </w:rPr>
        <w:t xml:space="preserve">• Hu et al. (2025, npj Climate Action) explicitly state: 'there is a scarcity of modeling analyses on the amount and aggregation of each financing source needed to bridge the gap, as well as a lack of empirical evidence to reflect differential financing conditions.'</w:t>
      </w:r>
    </w:p>
    <w:p>
      <w:pPr>
        <w:spacing w:after="80"/>
        <w:ind w:left="400"/>
      </w:pPr>
      <w:r>
        <w:rPr>
          <w:rFonts w:ascii="Arial" w:cs="Arial" w:eastAsia="Arial" w:hAnsi="Arial"/>
          <w:sz w:val="20"/>
          <w:szCs w:val="20"/>
        </w:rPr>
        <w:t xml:space="preserve">• The RCFI working paper (SSRN 5976375, 2025) acknowledges that 'empirical validation: application to real-world climate finance projects with comprehensive data availability to test scoring accuracy and predictive validity' is future work — not yet done.</w:t>
      </w:r>
    </w:p>
    <w:p>
      <w:pPr>
        <w:spacing w:after="80"/>
        <w:ind w:left="400"/>
      </w:pPr>
      <w:r>
        <w:rPr>
          <w:rFonts w:ascii="Arial" w:cs="Arial" w:eastAsia="Arial" w:hAnsi="Arial"/>
          <w:sz w:val="20"/>
          <w:szCs w:val="20"/>
        </w:rPr>
        <w:t xml:space="preserve">• CPI Global Landscape reports (2013–2019) themselves note: 'The absence of appropriate indicators, metrics, and data to determine the effectiveness of climate investments is a pressing concern.'</w:t>
      </w:r>
    </w:p>
    <w:p>
      <w:pPr>
        <w:spacing w:after="240"/>
        <w:ind w:left="400"/>
      </w:pPr>
      <w:r>
        <w:rPr>
          <w:rFonts w:ascii="Arial" w:cs="Arial" w:eastAsia="Arial" w:hAnsi="Arial"/>
          <w:sz w:val="20"/>
          <w:szCs w:val="20"/>
        </w:rPr>
        <w:t xml:space="preserve">• Rossati (2016) documents governance legitimacy factors at the institutional level but explicitly does not analyse project-level design quality as a predictor of outcomes.</w:t>
      </w:r>
    </w:p>
    <w:p>
      <w:pPr>
        <w:pStyle w:val="Heading1"/>
      </w:pPr>
      <w:r>
        <w:rPr>
          <w:rFonts w:ascii="Arial" w:cs="Arial" w:eastAsia="Arial" w:hAnsi="Arial"/>
          <w:b/>
          <w:bCs/>
          <w:color w:val="1F3864"/>
          <w:sz w:val="28"/>
          <w:szCs w:val="28"/>
        </w:rPr>
        <w:t xml:space="preserve">6. Top 3 Forward Citations to Chase</w:t>
      </w:r>
    </w:p>
    <w:p>
      <w:pPr>
        <w:spacing w:after="160"/>
      </w:pPr>
      <w:r>
        <w:rPr>
          <w:rFonts w:ascii="Arial" w:cs="Arial" w:eastAsia="Arial" w:hAnsi="Arial"/>
          <w:i/>
          <w:iCs/>
          <w:sz w:val="20"/>
          <w:szCs w:val="20"/>
        </w:rPr>
        <w:t xml:space="preserve">These papers are cited within the screened literature and have potential to contain project-level regression evidence relevant to the research question. Chase these next.</w:t>
      </w:r>
    </w:p>
    <w:p>
      <w:pPr>
        <w:pStyle w:val="Heading2"/>
      </w:pPr>
      <w:r>
        <w:rPr>
          <w:rFonts w:ascii="Arial" w:cs="Arial" w:eastAsia="Arial" w:hAnsi="Arial"/>
          <w:b/>
          <w:bCs/>
          <w:color w:val="2E5090"/>
          <w:sz w:val="22"/>
          <w:szCs w:val="22"/>
        </w:rPr>
        <w:t xml:space="preserve">FC-1: Ameli et al. (2021) — Higher cost of finance exacerbates a climate investment trap in developing economies</w:t>
      </w:r>
    </w:p>
    <w:p>
      <w:pPr>
        <w:spacing w:after="80"/>
      </w:pPr>
      <w:r>
        <w:rPr>
          <w:rFonts w:ascii="Arial" w:cs="Arial" w:eastAsia="Arial" w:hAnsi="Arial"/>
          <w:b/>
          <w:bCs/>
          <w:sz w:val="20"/>
          <w:szCs w:val="20"/>
        </w:rPr>
        <w:t xml:space="preserve">Full citation: </w:t>
      </w:r>
      <w:r>
        <w:rPr>
          <w:rFonts w:ascii="Arial" w:cs="Arial" w:eastAsia="Arial" w:hAnsi="Arial"/>
          <w:sz w:val="20"/>
          <w:szCs w:val="20"/>
        </w:rPr>
        <w:t xml:space="preserve">Ameli, N., Drummond, P., Bisaro, A., Grubb, M. &amp; Chenet, H. (2021). Higher cost of finance exacerbates a climate investment trap in developing economies. Nature Communications, 12, 4046.</w:t>
      </w:r>
    </w:p>
    <w:p>
      <w:pPr>
        <w:spacing w:after="80"/>
      </w:pPr>
      <w:r>
        <w:rPr>
          <w:rFonts w:ascii="Arial" w:cs="Arial" w:eastAsia="Arial" w:hAnsi="Arial"/>
          <w:b/>
          <w:bCs/>
          <w:sz w:val="20"/>
          <w:szCs w:val="20"/>
        </w:rPr>
        <w:t xml:space="preserve">Why chase: </w:t>
      </w:r>
      <w:r>
        <w:rPr>
          <w:rFonts w:ascii="Arial" w:cs="Arial" w:eastAsia="Arial" w:hAnsi="Arial"/>
          <w:sz w:val="20"/>
          <w:szCs w:val="20"/>
        </w:rPr>
        <w:t xml:space="preserve">Cited by Hu et al. (2025). The title and journal (Nature Communications) signal quantitative cross-country regression analysis of financing conditions on climate investment outcomes — possibly closest to project-level quality → outcome analysis in current literature. Could contain instrumental variable or panel regression relevant to QE identification.</w:t>
      </w:r>
    </w:p>
    <w:p>
      <w:pPr>
        <w:spacing w:after="200"/>
      </w:pPr>
      <w:r>
        <w:rPr>
          <w:rFonts w:ascii="Arial" w:cs="Arial" w:eastAsia="Arial" w:hAnsi="Arial"/>
          <w:b/>
          <w:bCs/>
          <w:sz w:val="20"/>
          <w:szCs w:val="20"/>
        </w:rPr>
        <w:t xml:space="preserve">Source paper: </w:t>
      </w:r>
      <w:r>
        <w:rPr>
          <w:rFonts w:ascii="Arial" w:cs="Arial" w:eastAsia="Arial" w:hAnsi="Arial"/>
          <w:sz w:val="20"/>
          <w:szCs w:val="20"/>
        </w:rPr>
        <w:t xml:space="preserve">Cited in s4416802500220x.pdf (Hu et al., 2025), reference [5].</w:t>
      </w:r>
    </w:p>
    <w:p>
      <w:pPr>
        <w:pStyle w:val="Heading2"/>
      </w:pPr>
      <w:r>
        <w:rPr>
          <w:rFonts w:ascii="Arial" w:cs="Arial" w:eastAsia="Arial" w:hAnsi="Arial"/>
          <w:b/>
          <w:bCs/>
          <w:color w:val="2E5090"/>
          <w:sz w:val="22"/>
          <w:szCs w:val="22"/>
        </w:rPr>
        <w:t xml:space="preserve">FC-2: Ragosa &amp; Warren (2019) — Unpacking the determinants of cross-border private investment in renewable energy in developing countries</w:t>
      </w:r>
    </w:p>
    <w:p>
      <w:pPr>
        <w:spacing w:after="80"/>
      </w:pPr>
      <w:r>
        <w:rPr>
          <w:rFonts w:ascii="Arial" w:cs="Arial" w:eastAsia="Arial" w:hAnsi="Arial"/>
          <w:b/>
          <w:bCs/>
          <w:sz w:val="20"/>
          <w:szCs w:val="20"/>
        </w:rPr>
        <w:t xml:space="preserve">Full citation: </w:t>
      </w:r>
      <w:r>
        <w:rPr>
          <w:rFonts w:ascii="Arial" w:cs="Arial" w:eastAsia="Arial" w:hAnsi="Arial"/>
          <w:sz w:val="20"/>
          <w:szCs w:val="20"/>
        </w:rPr>
        <w:t xml:space="preserve">Ragosa, G. &amp; Warren, P. (2019). Unpacking the determinants of cross-border private investment in renewable energy in developing countries. Journal of Cleaner Production, 235, 854–865.</w:t>
      </w:r>
    </w:p>
    <w:p>
      <w:pPr>
        <w:spacing w:after="80"/>
      </w:pPr>
      <w:r>
        <w:rPr>
          <w:rFonts w:ascii="Arial" w:cs="Arial" w:eastAsia="Arial" w:hAnsi="Arial"/>
          <w:b/>
          <w:bCs/>
          <w:sz w:val="20"/>
          <w:szCs w:val="20"/>
        </w:rPr>
        <w:t xml:space="preserve">Why chase: </w:t>
      </w:r>
      <w:r>
        <w:rPr>
          <w:rFonts w:ascii="Arial" w:cs="Arial" w:eastAsia="Arial" w:hAnsi="Arial"/>
          <w:sz w:val="20"/>
          <w:szCs w:val="20"/>
        </w:rPr>
        <w:t xml:space="preserve">'Unpacking determinants' with a specific investment-level dependent variable in developing countries directly parallels Steve's research design. Likely uses regression with governance/design quality controls. May contain project or country-level panel regression evidence that bridges climate finance and development project quality literature.</w:t>
      </w:r>
    </w:p>
    <w:p>
      <w:pPr>
        <w:spacing w:after="200"/>
      </w:pPr>
      <w:r>
        <w:rPr>
          <w:rFonts w:ascii="Arial" w:cs="Arial" w:eastAsia="Arial" w:hAnsi="Arial"/>
          <w:b/>
          <w:bCs/>
          <w:sz w:val="20"/>
          <w:szCs w:val="20"/>
        </w:rPr>
        <w:t xml:space="preserve">Source paper: </w:t>
      </w:r>
      <w:r>
        <w:rPr>
          <w:rFonts w:ascii="Arial" w:cs="Arial" w:eastAsia="Arial" w:hAnsi="Arial"/>
          <w:sz w:val="20"/>
          <w:szCs w:val="20"/>
        </w:rPr>
        <w:t xml:space="preserve">Cited in s4416802500220x.pdf (Hu et al., 2025), reference [16].</w:t>
      </w:r>
    </w:p>
    <w:p>
      <w:pPr>
        <w:pStyle w:val="Heading2"/>
      </w:pPr>
      <w:r>
        <w:rPr>
          <w:rFonts w:ascii="Arial" w:cs="Arial" w:eastAsia="Arial" w:hAnsi="Arial"/>
          <w:b/>
          <w:bCs/>
          <w:color w:val="2E5090"/>
          <w:sz w:val="22"/>
          <w:szCs w:val="22"/>
        </w:rPr>
        <w:t xml:space="preserve">FC-3: Ciplet, D. et al. (2022) — The unequal geographies of climate finance: climate injustice and dependency in the world system</w:t>
      </w:r>
    </w:p>
    <w:p>
      <w:pPr>
        <w:spacing w:after="80"/>
      </w:pPr>
      <w:r>
        <w:rPr>
          <w:rFonts w:ascii="Arial" w:cs="Arial" w:eastAsia="Arial" w:hAnsi="Arial"/>
          <w:b/>
          <w:bCs/>
          <w:sz w:val="20"/>
          <w:szCs w:val="20"/>
        </w:rPr>
        <w:t xml:space="preserve">Full citation: </w:t>
      </w:r>
      <w:r>
        <w:rPr>
          <w:rFonts w:ascii="Arial" w:cs="Arial" w:eastAsia="Arial" w:hAnsi="Arial"/>
          <w:sz w:val="20"/>
          <w:szCs w:val="20"/>
        </w:rPr>
        <w:t xml:space="preserve">Ciplet, D., Roberts, J.T., &amp; others (2022). The unequal geographies of climate finance: climate injustice and dependency in the world system. Political Geography, 99, 102769.</w:t>
      </w:r>
    </w:p>
    <w:p>
      <w:pPr>
        <w:spacing w:after="80"/>
      </w:pPr>
      <w:r>
        <w:rPr>
          <w:rFonts w:ascii="Arial" w:cs="Arial" w:eastAsia="Arial" w:hAnsi="Arial"/>
          <w:b/>
          <w:bCs/>
          <w:sz w:val="20"/>
          <w:szCs w:val="20"/>
        </w:rPr>
        <w:t xml:space="preserve">Why chase: </w:t>
      </w:r>
      <w:r>
        <w:rPr>
          <w:rFonts w:ascii="Arial" w:cs="Arial" w:eastAsia="Arial" w:hAnsi="Arial"/>
          <w:sz w:val="20"/>
          <w:szCs w:val="20"/>
        </w:rPr>
        <w:t xml:space="preserve">Political Geography with a multi-country empirical frame on distributive outcomes of climate finance. 'Unequal geographies' and 'dependency' framing suggests quantitative cross-sectional or panel regression testing governance/power variables against climate finance outcomes — directly relevant to whether QE predicts differential access and outcome effectiveness.</w:t>
      </w:r>
    </w:p>
    <w:p>
      <w:pPr>
        <w:spacing w:after="200"/>
      </w:pPr>
      <w:r>
        <w:rPr>
          <w:rFonts w:ascii="Arial" w:cs="Arial" w:eastAsia="Arial" w:hAnsi="Arial"/>
          <w:b/>
          <w:bCs/>
          <w:sz w:val="20"/>
          <w:szCs w:val="20"/>
        </w:rPr>
        <w:t xml:space="preserve">Source paper: </w:t>
      </w:r>
      <w:r>
        <w:rPr>
          <w:rFonts w:ascii="Arial" w:cs="Arial" w:eastAsia="Arial" w:hAnsi="Arial"/>
          <w:sz w:val="20"/>
          <w:szCs w:val="20"/>
        </w:rPr>
        <w:t xml:space="preserve">Cited in s4416802500220x.pdf (Hu et al., 2025), reference [9].</w:t>
      </w:r>
    </w:p>
    <w:p>
      <w:pPr>
        <w:pStyle w:val="Heading1"/>
      </w:pPr>
      <w:r>
        <w:rPr>
          <w:rFonts w:ascii="Arial" w:cs="Arial" w:eastAsia="Arial" w:hAnsi="Arial"/>
          <w:b/>
          <w:bCs/>
          <w:color w:val="1F3864"/>
          <w:sz w:val="28"/>
          <w:szCs w:val="28"/>
        </w:rPr>
        <w:t xml:space="preserve">7. Copy-Paste Ready Output for Synthesis Project</w:t>
      </w:r>
    </w:p>
    <w:p>
      <w:pPr>
        <w:spacing w:after="200"/>
      </w:pPr>
      <w:r>
        <w:rPr>
          <w:rFonts w:ascii="Arial" w:cs="Arial" w:eastAsia="Arial" w:hAnsi="Arial"/>
          <w:i/>
          <w:iCs/>
          <w:sz w:val="20"/>
          <w:szCs w:val="20"/>
        </w:rPr>
        <w:t xml:space="preserve">The following paragraphs can be inserted directly into the Literature Review section of the thesis. Two versions are provided: a short gap statement and a full stream summary paragraph.</w:t>
      </w:r>
    </w:p>
    <w:p>
      <w:pPr>
        <w:pStyle w:val="Heading2"/>
      </w:pPr>
      <w:r>
        <w:rPr>
          <w:rFonts w:ascii="Arial" w:cs="Arial" w:eastAsia="Arial" w:hAnsi="Arial"/>
          <w:b/>
          <w:bCs/>
          <w:color w:val="2E5090"/>
          <w:sz w:val="22"/>
          <w:szCs w:val="22"/>
        </w:rPr>
        <w:t xml:space="preserve">A. Short Gap Statement (2 sentences — for abstract or intro)</w:t>
      </w:r>
    </w:p>
    <w:p>
      <w:pPr>
        <w:pBdr>
          <w:left w:val="single" w:color="2E5090" w:sz="16"/>
        </w:pBdr>
        <w:spacing w:after="240"/>
        <w:ind w:left="360" w:right="360"/>
      </w:pPr>
      <w:r>
        <w:rPr>
          <w:rFonts w:ascii="Arial" w:cs="Arial" w:eastAsia="Arial" w:hAnsi="Arial"/>
          <w:sz w:val="20"/>
          <w:szCs w:val="20"/>
        </w:rPr>
        <w:t xml:space="preserve">The climate finance literature has tracked aggregate flows (Buchner et al., 2019), mapped institutional architecture (Watson et al., 2024), and proposed multi-dimensional assessment frameworks (ssrn5976375, 2025), yet not one study has used project-level regression to test whether design quality predicts outcomes in climate finance portfolios. This study addresses that gap by demonstrating, across 12,328 World Bank-financed projects, that design quality is the strongest predictor of project outcome (OR = 27.8).</w:t>
      </w:r>
    </w:p>
    <w:p>
      <w:pPr>
        <w:pStyle w:val="Heading2"/>
      </w:pPr>
      <w:r>
        <w:rPr>
          <w:rFonts w:ascii="Arial" w:cs="Arial" w:eastAsia="Arial" w:hAnsi="Arial"/>
          <w:b/>
          <w:bCs/>
          <w:color w:val="2E5090"/>
          <w:sz w:val="22"/>
          <w:szCs w:val="22"/>
        </w:rPr>
        <w:t xml:space="preserve">B. Full Stream Paragraph (for Literature Review body)</w:t>
      </w:r>
    </w:p>
    <w:p>
      <w:pPr>
        <w:pBdr>
          <w:left w:val="single" w:color="2E5090" w:sz="16"/>
        </w:pBdr>
        <w:spacing w:after="240"/>
        <w:ind w:left="360" w:right="360"/>
      </w:pPr>
      <w:r>
        <w:rPr>
          <w:rFonts w:ascii="Arial" w:cs="Arial" w:eastAsia="Arial" w:hAnsi="Arial"/>
          <w:sz w:val="20"/>
          <w:szCs w:val="20"/>
        </w:rPr>
        <w:t xml:space="preserve">The climate finance literature has grown substantially over the past decade but remains concentrated at the macro-flow level. Annual tracking reports from the Climate Policy Initiative (Buchner et al., 2013; Buchner et al., 2019) established that global climate finance reached USD 579 billion in 2017–18, predominantly for mitigation and renewable energy, with adaptation severely underfunded at 5% of flows. Architecture mapping exercises (Watson et al., 2024, 2025; CEEW/CEF, 2024) document the institutional fragmentation that characterises multilateral, bilateral, and national climate funds. Governance scholarship (Rossati, 2016; ssrn5287468, 2025) identifies legitimacy dimensions — transparency, country ownership, accountability, participation — as determinants of fund effectiveness, while the emerging RCFI framework (ssrn5976375, 2025) proposes multi-dimensional project scoring but has not yet been empirically validated. The most quantitatively ambitious study reviewed, Hu et al. (2025, npj Climate Action), models scenarios to bridge the USD 3.9 trillion annual finance gap using carbon market leverage ratios, but acknowledges 'a scarcity of robust empirical studies and advanced modeling approaches' at the project level. No paper in this stream estimates the effect of project design quality on project outcome using regression analysis on an individual project sample — a gap that motivates the present study.</w:t>
      </w:r>
    </w:p>
    <w:p>
      <w:pPr>
        <w:pStyle w:val="Heading1"/>
      </w:pPr>
      <w:r>
        <w:rPr>
          <w:rFonts w:ascii="Arial" w:cs="Arial" w:eastAsia="Arial" w:hAnsi="Arial"/>
          <w:b/>
          <w:bCs/>
          <w:color w:val="1F3864"/>
          <w:sz w:val="28"/>
          <w:szCs w:val="28"/>
        </w:rPr>
        <w:t xml:space="preserve">8. Literature Map — Where This Stream Sits in Steve's Thesis</w:t>
      </w:r>
    </w:p>
    <w:p>
      <w:pPr>
        <w:spacing w:after="120"/>
      </w:pPr>
      <w:r>
        <w:rPr>
          <w:rFonts w:ascii="Arial" w:cs="Arial" w:eastAsia="Arial" w:hAnsi="Arial"/>
          <w:b/>
          <w:bCs/>
          <w:sz w:val="20"/>
          <w:szCs w:val="20"/>
        </w:rPr>
        <w:t xml:space="preserve">Position in the Literature → Gap → Question → Model chain:</w:t>
      </w:r>
    </w:p>
    <w:p>
      <w:pPr>
        <w:spacing w:after="80"/>
        <w:ind w:left="400"/>
      </w:pPr>
      <w:r>
        <w:rPr>
          <w:rFonts w:ascii="Arial" w:cs="Arial" w:eastAsia="Arial" w:hAnsi="Arial"/>
          <w:sz w:val="20"/>
          <w:szCs w:val="20"/>
        </w:rPr>
        <w:t xml:space="preserve">LITERATURE (this stream): Climate finance literature quantifies flows, maps architecture, and qualitatively assesses governance — but ignores project design quality as a predictor.</w:t>
      </w:r>
    </w:p>
    <w:p>
      <w:pPr>
        <w:spacing w:after="80"/>
        <w:ind w:left="400"/>
      </w:pPr>
      <w:r>
        <w:rPr>
          <w:rFonts w:ascii="Arial" w:cs="Arial" w:eastAsia="Arial" w:hAnsi="Arial"/>
          <w:sz w:val="20"/>
          <w:szCs w:val="20"/>
        </w:rPr>
        <w:t xml:space="preserve">GAP confirmed: Zero papers regress design quality (QE) on project outcome in any climate-finance-adjacent setting.</w:t>
      </w:r>
    </w:p>
    <w:p>
      <w:pPr>
        <w:spacing w:after="80"/>
        <w:ind w:left="400"/>
      </w:pPr>
      <w:r>
        <w:rPr>
          <w:rFonts w:ascii="Arial" w:cs="Arial" w:eastAsia="Arial" w:hAnsi="Arial"/>
          <w:sz w:val="20"/>
          <w:szCs w:val="20"/>
        </w:rPr>
        <w:t xml:space="preserve">QUESTION enabled: Does development project design quality predict outcomes in World Bank-financed projects (including climate-adjacent ones)?</w:t>
      </w:r>
    </w:p>
    <w:p>
      <w:pPr>
        <w:spacing w:after="80"/>
        <w:ind w:left="400"/>
      </w:pPr>
      <w:r>
        <w:rPr>
          <w:rFonts w:ascii="Arial" w:cs="Arial" w:eastAsia="Arial" w:hAnsi="Arial"/>
          <w:sz w:val="20"/>
          <w:szCs w:val="20"/>
        </w:rPr>
        <w:t xml:space="preserve">MODEL: Logistic regression, QE as main predictor, n=12,328, World Bank IEG dataset.</w:t>
      </w:r>
    </w:p>
    <w:p>
      <w:pPr>
        <w:spacing w:after="80"/>
        <w:ind w:left="400"/>
      </w:pPr>
      <w:r>
        <w:rPr>
          <w:rFonts w:ascii="Arial" w:cs="Arial" w:eastAsia="Arial" w:hAnsi="Arial"/>
          <w:sz w:val="20"/>
          <w:szCs w:val="20"/>
        </w:rPr>
        <w:t xml:space="preserve">DATA: World Bank PPAR/ICR data with IEG outcome ratings and QE scores.</w:t>
      </w:r>
    </w:p>
    <w:p>
      <w:pPr>
        <w:spacing w:after="200"/>
        <w:ind w:left="400"/>
      </w:pPr>
      <w:r>
        <w:rPr>
          <w:rFonts w:ascii="Arial" w:cs="Arial" w:eastAsia="Arial" w:hAnsi="Arial"/>
          <w:b/>
          <w:bCs/>
          <w:color w:val="1F3864"/>
          <w:sz w:val="20"/>
          <w:szCs w:val="20"/>
        </w:rPr>
        <w:t xml:space="preserve">RESULT: OR = 27.8 — the strongest reported predictor of development project outcome yet documented.</w:t>
      </w:r>
    </w:p>
    <w:p>
      <w:pPr>
        <w:pBdr>
          <w:top w:val="single" w:color="AAAAAA" w:sz="4"/>
        </w:pBdr>
        <w:spacing w:before="400"/>
      </w:pPr>
      <w:r>
        <w:rPr>
          <w:rFonts w:ascii="Arial" w:cs="Arial" w:eastAsia="Arial" w:hAnsi="Arial"/>
          <w:i/>
          <w:iCs/>
          <w:color w:val="888888"/>
          <w:sz w:val="16"/>
          <w:szCs w:val="16"/>
        </w:rPr>
        <w:t xml:space="preserve">End of Climate Finance Stream Coding Output | Steve Brandon PhD | Synthesis Project | Generated February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5090"/>
      <w:sz w:val="22"/>
      <w:szCs w:val="22"/>
    </w:rPr>
  </w:style>
  <w:style w:type="paragraph" w:styleId="Heading3">
    <w:name w:val="Heading 3"/>
    <w:basedOn w:val="Normal"/>
    <w:next w:val="Normal"/>
    <w:qFormat/>
    <w:pPr>
      <w:spacing w:before="160" w:after="80"/>
      <w:outlineLvl w:val="2"/>
    </w:pPr>
    <w:rPr>
      <w:rFonts w:ascii="Arial" w:cs="Arial" w:eastAsia="Arial" w:hAnsi="Arial"/>
      <w:b/>
      <w:bCs/>
      <w:color w:val="2E509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2026-02-23T01:10:58.097Z</dcterms:created>
  <dcterms:modified xsi:type="dcterms:W3CDTF">2026-02-23T01:10:58.098Z</dcterms:modified>
</cp:coreProperties>
</file>

<file path=docProps/custom.xml><?xml version="1.0" encoding="utf-8"?>
<Properties xmlns="http://schemas.openxmlformats.org/officeDocument/2006/custom-properties" xmlns:vt="http://schemas.openxmlformats.org/officeDocument/2006/docPropsVTypes"/>
</file>