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200"/>
        <w:jc w:val="center"/>
      </w:pPr>
      <w:r>
        <w:rPr>
          <w:rFonts w:ascii="Arial" w:cs="Arial" w:eastAsia="Arial" w:hAnsi="Arial"/>
          <w:b/>
          <w:bCs/>
          <w:color w:val="1F4E79"/>
          <w:sz w:val="36"/>
          <w:szCs w:val="36"/>
        </w:rPr>
        <w:t xml:space="preserve">SYSTEMATIC LITERATURE CODING</w:t>
      </w:r>
    </w:p>
    <w:p>
      <w:pPr>
        <w:spacing w:before="120" w:after="120"/>
        <w:jc w:val="center"/>
      </w:pPr>
      <w:r>
        <w:rPr>
          <w:rFonts w:ascii="Arial" w:cs="Arial" w:eastAsia="Arial" w:hAnsi="Arial"/>
          <w:b/>
          <w:bCs/>
          <w:color w:val="2E75B6"/>
          <w:sz w:val="28"/>
          <w:szCs w:val="28"/>
        </w:rPr>
        <w:t xml:space="preserve">Debt Sustainability / Collateralisation Stream</w:t>
      </w:r>
    </w:p>
    <w:p>
      <w:pPr>
        <w:spacing w:before="80" w:after="80"/>
        <w:jc w:val="center"/>
      </w:pPr>
      <w:r>
        <w:rPr>
          <w:rFonts w:ascii="Arial" w:cs="Arial" w:eastAsia="Arial" w:hAnsi="Arial"/>
          <w:color w:val="595959"/>
          <w:sz w:val="20"/>
          <w:szCs w:val="20"/>
        </w:rPr>
        <w:t xml:space="preserve">PhD Research — Steve Brandon | QUT / Griffith University</w:t>
      </w:r>
    </w:p>
    <w:p>
      <w:pPr>
        <w:spacing w:before="80" w:after="80"/>
        <w:jc w:val="center"/>
      </w:pPr>
      <w:r>
        <w:rPr>
          <w:rFonts w:ascii="Arial" w:cs="Arial" w:eastAsia="Arial" w:hAnsi="Arial"/>
          <w:color w:val="595959"/>
          <w:sz w:val="18"/>
          <w:szCs w:val="18"/>
        </w:rPr>
        <w:t xml:space="preserve">Research finding: OR=27.8 — Project design quality (QE) predicts outcomes across 12,328 World Bank projects</w:t>
      </w:r>
    </w:p>
    <w:p>
      <w:pPr>
        <w:spacing w:before="80" w:after="600"/>
        <w:jc w:val="center"/>
      </w:pPr>
      <w:r>
        <w:rPr>
          <w:rFonts w:ascii="Arial" w:cs="Arial" w:eastAsia="Arial" w:hAnsi="Arial"/>
          <w:color w:val="595959"/>
          <w:sz w:val="18"/>
          <w:szCs w:val="18"/>
        </w:rPr>
        <w:t xml:space="preserve">Generated: 23 February 2026</w:t>
      </w:r>
    </w:p>
    <w:p>
      <w:pPr>
        <w:pStyle w:val="Heading1"/>
        <w:spacing w:before="360" w:after="200"/>
      </w:pPr>
      <w:r>
        <w:rPr>
          <w:rFonts w:ascii="Arial" w:cs="Arial" w:eastAsia="Arial" w:hAnsi="Arial"/>
          <w:b/>
          <w:bCs/>
          <w:color w:val="1F4E79"/>
          <w:sz w:val="28"/>
          <w:szCs w:val="28"/>
        </w:rPr>
        <w:t xml:space="preserve">STEP 1 — INCLUSION SCREENING SUMMARY</w:t>
      </w:r>
    </w:p>
    <w:p>
      <w:pPr>
        <w:spacing w:before="60" w:after="80"/>
      </w:pPr>
      <w:r>
        <w:rPr>
          <w:rFonts w:ascii="Arial" w:cs="Arial" w:eastAsia="Arial" w:hAnsi="Arial"/>
          <w:b/>
          <w:bCs/>
          <w:sz w:val="18"/>
          <w:szCs w:val="18"/>
        </w:rPr>
        <w:t xml:space="preserve">Total PDFs reviewed: 14  |  Included: 9  |  Excluded: 5 (4 qualitative/descriptive + 1 duplicate)</w:t>
      </w:r>
    </w:p>
    <w:p>
      <w:pPr>
        <w:spacing w:before="60" w:after="60"/>
      </w:pPr>
      <w:r>
        <w:t xml:space="preserve"/>
      </w:r>
    </w:p>
    <w:p>
      <w:pPr>
        <w:pStyle w:val="Heading1"/>
        <w:spacing w:before="360" w:after="200"/>
      </w:pPr>
      <w:r>
        <w:rPr>
          <w:rFonts w:ascii="Arial" w:cs="Arial" w:eastAsia="Arial" w:hAnsi="Arial"/>
          <w:b/>
          <w:bCs/>
          <w:color w:val="1F4E79"/>
          <w:sz w:val="28"/>
          <w:szCs w:val="28"/>
        </w:rPr>
        <w:t xml:space="preserve">TAB A — ALL INCLUDED PAPERS (17 Fields)</w:t>
      </w:r>
    </w:p>
    <w:p>
      <w:pPr>
        <w:spacing w:before="60" w:after="80"/>
      </w:pPr>
      <w:r>
        <w:rPr>
          <w:rFonts w:ascii="Arial" w:cs="Arial" w:eastAsia="Arial" w:hAnsi="Arial"/>
          <w:sz w:val="18"/>
          <w:szCs w:val="18"/>
        </w:rPr>
        <w:t xml:space="preserve">Inclusion criteria: quantitative outcome + regression/causal claim + development projects + peer-reviewed or credible working paper.</w:t>
      </w:r>
    </w:p>
    <w:p>
      <w:pPr>
        <w:spacing w:before="60" w:after="60"/>
      </w:pPr>
      <w:r>
        <w:t xml:space="preserve"/>
      </w:r>
    </w:p>
    <w:tbl>
      <w:tblPr>
        <w:tblW w:type="dxa" w:w="1560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450"/>
        <w:gridCol w:w="1700"/>
        <w:gridCol w:w="1100"/>
        <w:gridCol w:w="800"/>
        <w:gridCol w:w="1200"/>
        <w:gridCol w:w="900"/>
        <w:gridCol w:w="900"/>
        <w:gridCol w:w="800"/>
        <w:gridCol w:w="900"/>
        <w:gridCol w:w="600"/>
        <w:gridCol w:w="1400"/>
        <w:gridCol w:w="1200"/>
        <w:gridCol w:w="650"/>
        <w:gridCol w:w="600"/>
        <w:gridCol w:w="800"/>
      </w:tblGrid>
      <w:tr>
        <w:tc>
          <w:tcPr>
            <w:tcW w:type="dxa" w:w="6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Paper_ID</w:t>
            </w:r>
          </w:p>
        </w:tc>
        <w:tc>
          <w:tcPr>
            <w:tcW w:type="dxa" w:w="10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Authors</w:t>
            </w:r>
          </w:p>
        </w:tc>
        <w:tc>
          <w:tcPr>
            <w:tcW w:type="dxa" w:w="45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Year</w:t>
            </w:r>
          </w:p>
        </w:tc>
        <w:tc>
          <w:tcPr>
            <w:tcW w:type="dxa" w:w="17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Title</w:t>
            </w:r>
          </w:p>
        </w:tc>
        <w:tc>
          <w:tcPr>
            <w:tcW w:type="dxa" w:w="11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Journal / Source</w:t>
            </w:r>
          </w:p>
        </w:tc>
        <w:tc>
          <w:tcPr>
            <w:tcW w:type="dxa" w:w="8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Stream</w:t>
            </w:r>
          </w:p>
        </w:tc>
        <w:tc>
          <w:tcPr>
            <w:tcW w:type="dxa" w:w="12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Research_Question</w:t>
            </w:r>
          </w:p>
        </w:tc>
        <w:tc>
          <w:tcPr>
            <w:tcW w:type="dxa" w:w="9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Outcome_Variable</w:t>
            </w:r>
          </w:p>
        </w:tc>
        <w:tc>
          <w:tcPr>
            <w:tcW w:type="dxa" w:w="9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Main_Predictor</w:t>
            </w:r>
          </w:p>
        </w:tc>
        <w:tc>
          <w:tcPr>
            <w:tcW w:type="dxa" w:w="8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Model_Type</w:t>
            </w:r>
          </w:p>
        </w:tc>
        <w:tc>
          <w:tcPr>
            <w:tcW w:type="dxa" w:w="9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Dataset</w:t>
            </w:r>
          </w:p>
        </w:tc>
        <w:tc>
          <w:tcPr>
            <w:tcW w:type="dxa" w:w="6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n_Projects / Units</w:t>
            </w:r>
          </w:p>
        </w:tc>
        <w:tc>
          <w:tcPr>
            <w:tcW w:type="dxa" w:w="14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Key_Finding</w:t>
            </w:r>
          </w:p>
        </w:tc>
        <w:tc>
          <w:tcPr>
            <w:tcW w:type="dxa" w:w="12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Gap_They_Left</w:t>
            </w:r>
          </w:p>
        </w:tc>
        <w:tc>
          <w:tcPr>
            <w:tcW w:type="dxa" w:w="65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Relevant_to_RQ</w:t>
            </w:r>
          </w:p>
        </w:tc>
        <w:tc>
          <w:tcPr>
            <w:tcW w:type="dxa" w:w="6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Deep_Read</w:t>
            </w:r>
          </w:p>
        </w:tc>
        <w:tc>
          <w:tcPr>
            <w:tcW w:type="dxa" w:w="8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Notes</w:t>
            </w:r>
          </w:p>
        </w:tc>
      </w:tr>
      <w:tr>
        <w:tc>
          <w:tcPr>
            <w:tcW w:type="dxa" w:w="6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DS01</w:t>
            </w:r>
          </w:p>
        </w:tc>
        <w:tc>
          <w:tcPr>
            <w:tcW w:type="dxa" w:w="10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Coulibaly, Minea, Villieu</w:t>
            </w:r>
          </w:p>
        </w:tc>
        <w:tc>
          <w:tcPr>
            <w:tcW w:type="dxa" w:w="45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2022</w:t>
            </w:r>
          </w:p>
        </w:tc>
        <w:tc>
          <w:tcPr>
            <w:tcW w:type="dxa" w:w="17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How Do Natural Resource-Backed Loans Affect the Public Debt Sustainability in Developing Countries? Empirical Evidence</w:t>
            </w:r>
          </w:p>
        </w:tc>
        <w:tc>
          <w:tcPr>
            <w:tcW w:type="dxa" w:w="11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HAL Working Paper (Univ. Orléans / LEO)</w:t>
            </w:r>
          </w:p>
        </w:tc>
        <w:tc>
          <w:tcPr>
            <w:tcW w:type="dxa" w:w="8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Debt Sustainability / Collateralisation</w:t>
            </w:r>
          </w:p>
        </w:tc>
        <w:tc>
          <w:tcPr>
            <w:tcW w:type="dxa" w:w="12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Do RBLs increase public debt in developing countries, and does institutional quality moderate this effect?</w:t>
            </w:r>
          </w:p>
        </w:tc>
        <w:tc>
          <w:tcPr>
            <w:tcW w:type="dxa" w:w="9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Public debt (% of GDP, measured at t+5 after loan signing)</w:t>
            </w:r>
          </w:p>
        </w:tc>
        <w:tc>
          <w:tcPr>
            <w:tcW w:type="dxa" w:w="9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RBL adoption dummy</w:t>
            </w:r>
          </w:p>
        </w:tc>
        <w:tc>
          <w:tcPr>
            <w:tcW w:type="dxa" w:w="8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Entropy balancing (Hainmueller 2012) + PSM; ATT estimator</w:t>
            </w:r>
          </w:p>
        </w:tc>
        <w:tc>
          <w:tcPr>
            <w:tcW w:type="dxa" w:w="9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Mihalyi et al 2020 RBL database + World Bank WDI</w:t>
            </w:r>
          </w:p>
        </w:tc>
        <w:tc>
          <w:tcPr>
            <w:tcW w:type="dxa" w:w="6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~52 developing countries (country-year panel 2000–2018)</w:t>
            </w:r>
          </w:p>
        </w:tc>
        <w:tc>
          <w:tcPr>
            <w:tcW w:type="dxa" w:w="14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RBLs associated with significantly higher public debt in the years following adoption; institutional quality and anti-corruption governance moderate the magnitude of debt accumulation.</w:t>
            </w:r>
          </w:p>
        </w:tc>
        <w:tc>
          <w:tcPr>
            <w:tcW w:type="dxa" w:w="12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No project-level design quality analysis; no causal mechanism linking loan contract terms to fiscal outcomes; Latin America vs Africa heterogeneity understudied.</w:t>
            </w:r>
          </w:p>
        </w:tc>
        <w:tc>
          <w:tcPr>
            <w:tcW w:type="dxa" w:w="65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YES</w:t>
            </w:r>
          </w:p>
        </w:tc>
        <w:tc>
          <w:tcPr>
            <w:tcW w:type="dxa" w:w="6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YES</w:t>
            </w:r>
          </w:p>
        </w:tc>
        <w:tc>
          <w:tcPr>
            <w:tcW w:type="dxa" w:w="8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Key foundational paper for this stream; authored by Coulibaly who leads the RBL quantitative literature.</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DS02</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Coulibaly, Yacouba</w:t>
            </w:r>
          </w:p>
        </w:tc>
        <w:tc>
          <w:tcPr>
            <w:tcW w:type="dxa" w:w="4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2024</w:t>
            </w:r>
          </w:p>
        </w:tc>
        <w:tc>
          <w:tcPr>
            <w:tcW w:type="dxa" w:w="1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Resource-backed Loans and Sovereign Debt Default in Developing Countries: Do institutions matter?</w:t>
            </w:r>
          </w:p>
        </w:tc>
        <w:tc>
          <w:tcPr>
            <w:tcW w:type="dxa" w:w="11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SSRN Working Paper (ssrn.com/abstract=4727249)</w:t>
            </w:r>
          </w:p>
        </w:tc>
        <w:tc>
          <w:tcPr>
            <w:tcW w:type="dxa" w:w="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Debt Sustainability / Collateralisation</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Do RBLs increase the probability of sovereign debt default, and does institutional quality moderate this relationship?</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Sovereign debt default (binary)</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RBL adoption dummy</w:t>
            </w:r>
          </w:p>
        </w:tc>
        <w:tc>
          <w:tcPr>
            <w:tcW w:type="dxa" w:w="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Entropy balancing (primary) + PSM, PSW, coarsened exact matching, Driscoll-Kraay panel FE, system GMM</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Beers &amp; Mavalwalla (2017) Bank of Canada sovereign default DB + WB WDI</w:t>
            </w:r>
          </w:p>
        </w:tc>
        <w:tc>
          <w:tcPr>
            <w:tcW w:type="dxa" w:w="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Developing countries, country-year panel ~2000–2018</w:t>
            </w:r>
          </w:p>
        </w:tc>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Conditional default probability 3.7% for RBL countries vs 2.2% unconditional; RBLs significantly increase sovereign debt default probability; institutions moderate effect — poor institutions amplify default risk.</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No project-level analysis; no loan contract design quality as moderator; no cross-MDB comparison; outcome limited to default, not debt levels.</w:t>
            </w:r>
          </w:p>
        </w:tc>
        <w:tc>
          <w:tcPr>
            <w:tcW w:type="dxa" w:w="6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YES</w:t>
            </w:r>
          </w:p>
        </w:tc>
        <w:tc>
          <w:tcPr>
            <w:tcW w:type="dxa" w:w="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YES</w:t>
            </w:r>
          </w:p>
        </w:tc>
        <w:tc>
          <w:tcPr>
            <w:tcW w:type="dxa" w:w="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Robust identification using 6+ methods. First causal estimate of RBL → default relationship.</w:t>
            </w:r>
          </w:p>
        </w:tc>
      </w:tr>
      <w:tr>
        <w:tc>
          <w:tcPr>
            <w:tcW w:type="dxa" w:w="6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DS03</w:t>
            </w:r>
          </w:p>
        </w:tc>
        <w:tc>
          <w:tcPr>
            <w:tcW w:type="dxa" w:w="10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Coulibaly, Kilolo, Hacime</w:t>
            </w:r>
          </w:p>
        </w:tc>
        <w:tc>
          <w:tcPr>
            <w:tcW w:type="dxa" w:w="45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2025</w:t>
            </w:r>
          </w:p>
        </w:tc>
        <w:tc>
          <w:tcPr>
            <w:tcW w:type="dxa" w:w="17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Sovereign credit rating and resource-backed loans in African countries</w:t>
            </w:r>
          </w:p>
        </w:tc>
        <w:tc>
          <w:tcPr>
            <w:tcW w:type="dxa" w:w="11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HAL Working Paper (hal.science/hal-05165783)</w:t>
            </w:r>
          </w:p>
        </w:tc>
        <w:tc>
          <w:tcPr>
            <w:tcW w:type="dxa" w:w="8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Debt Sustainability / Collateralisation</w:t>
            </w:r>
          </w:p>
        </w:tc>
        <w:tc>
          <w:tcPr>
            <w:tcW w:type="dxa" w:w="12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Do RBLs affect sovereign credit ratings in African countries?</w:t>
            </w:r>
          </w:p>
        </w:tc>
        <w:tc>
          <w:tcPr>
            <w:tcW w:type="dxa" w:w="9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Sovereign credit rating (Fitch/Moody's/S&amp;P; also WB composite)</w:t>
            </w:r>
          </w:p>
        </w:tc>
        <w:tc>
          <w:tcPr>
            <w:tcW w:type="dxa" w:w="9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RBL adoption dummy</w:t>
            </w:r>
          </w:p>
        </w:tc>
        <w:tc>
          <w:tcPr>
            <w:tcW w:type="dxa" w:w="8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Entropy balancing + OLS with country/year FE; ordered probit robustness</w:t>
            </w:r>
          </w:p>
        </w:tc>
        <w:tc>
          <w:tcPr>
            <w:tcW w:type="dxa" w:w="9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Mihalyi et al 2020 + rating agency databases</w:t>
            </w:r>
          </w:p>
        </w:tc>
        <w:tc>
          <w:tcPr>
            <w:tcW w:type="dxa" w:w="6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African countries, n≈639–651 obs</w:t>
            </w:r>
          </w:p>
        </w:tc>
        <w:tc>
          <w:tcPr>
            <w:tcW w:type="dxa" w:w="14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RBL adoption lowers sovereign credit rating by ~2 points (β=−2.09, p&lt;0.01); robust across 8 sub-sample exclusions and alternative rating measures.</w:t>
            </w:r>
          </w:p>
        </w:tc>
        <w:tc>
          <w:tcPr>
            <w:tcW w:type="dxa" w:w="12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Limited to African countries; no project design quality moderator; no loan contract term heterogeneity; limited to rating outcomes not actual debt service.</w:t>
            </w:r>
          </w:p>
        </w:tc>
        <w:tc>
          <w:tcPr>
            <w:tcW w:type="dxa" w:w="65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YES</w:t>
            </w:r>
          </w:p>
        </w:tc>
        <w:tc>
          <w:tcPr>
            <w:tcW w:type="dxa" w:w="6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YES</w:t>
            </w:r>
          </w:p>
        </w:tc>
        <w:tc>
          <w:tcPr>
            <w:tcW w:type="dxa" w:w="8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Most recent paper in Coulibaly's series; provides credit-market outcome evidence.</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DS04</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Landry, Tang</w:t>
            </w:r>
          </w:p>
        </w:tc>
        <w:tc>
          <w:tcPr>
            <w:tcW w:type="dxa" w:w="4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2024</w:t>
            </w:r>
          </w:p>
        </w:tc>
        <w:tc>
          <w:tcPr>
            <w:tcW w:type="dxa" w:w="1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Calculated Capital: The Business Logic Behind Chinese Lending in the Global South</w:t>
            </w:r>
          </w:p>
        </w:tc>
        <w:tc>
          <w:tcPr>
            <w:tcW w:type="dxa" w:w="11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Boston University GCI Working Paper 034</w:t>
            </w:r>
          </w:p>
        </w:tc>
        <w:tc>
          <w:tcPr>
            <w:tcW w:type="dxa" w:w="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Debt Sustainability / Collateralisation</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What factors determine whether Chinese loans are resource-backed? Do RBLs carry higher interest rates than non-RBL loans?</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(1) Whether loan is resource-backed (binary); (2) Interest rate on loan</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Country risk index (OECD); resource rents (% GDP)</w:t>
            </w:r>
          </w:p>
        </w:tc>
        <w:tc>
          <w:tcPr>
            <w:tcW w:type="dxa" w:w="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Probit + OLS; qualitative case study triangulation</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AidData 2.0 + GDP Center Chinese Loans to Africa Database (2023)</w:t>
            </w:r>
          </w:p>
        </w:tc>
        <w:tc>
          <w:tcPr>
            <w:tcW w:type="dxa" w:w="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651 Chinese loans, 2000–2021</w:t>
            </w:r>
          </w:p>
        </w:tc>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Higher credit risk → significantly more likely to be RBL (β=0.042, p&lt;0.01); RBLs carry higher interest rates (mean 4.45% vs 2.63%) contra 'patient capital' narrative; risk-seeking SOEs compound moral hazard.</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Limited to Chinese lending; no MDB comparison; no project design quality analysis; no long-term debt sustainability outcome; endogeneity of collateral selection not fully addressed.</w:t>
            </w:r>
          </w:p>
        </w:tc>
        <w:tc>
          <w:tcPr>
            <w:tcW w:type="dxa" w:w="6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YES</w:t>
            </w:r>
          </w:p>
        </w:tc>
        <w:tc>
          <w:tcPr>
            <w:tcW w:type="dxa" w:w="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YES</w:t>
            </w:r>
          </w:p>
        </w:tc>
        <w:tc>
          <w:tcPr>
            <w:tcW w:type="dxa" w:w="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First rigorous empirical analysis of collateral demand-side; 651 loans provides substantial statistical power.</w:t>
            </w:r>
          </w:p>
        </w:tc>
      </w:tr>
      <w:tr>
        <w:tc>
          <w:tcPr>
            <w:tcW w:type="dxa" w:w="6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DS05</w:t>
            </w:r>
          </w:p>
        </w:tc>
        <w:tc>
          <w:tcPr>
            <w:tcW w:type="dxa" w:w="10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Coulibaly, Yacouba</w:t>
            </w:r>
          </w:p>
        </w:tc>
        <w:tc>
          <w:tcPr>
            <w:tcW w:type="dxa" w:w="45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2024</w:t>
            </w:r>
          </w:p>
        </w:tc>
        <w:tc>
          <w:tcPr>
            <w:tcW w:type="dxa" w:w="17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Resource-backed loans and ecological efficiency of human development: Evidence from African countries</w:t>
            </w:r>
          </w:p>
        </w:tc>
        <w:tc>
          <w:tcPr>
            <w:tcW w:type="dxa" w:w="11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Ecological Economics 224 (2024) 108295</w:t>
            </w:r>
          </w:p>
        </w:tc>
        <w:tc>
          <w:tcPr>
            <w:tcW w:type="dxa" w:w="8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Debt Sustainability / Collateralisation (peripheral)</w:t>
            </w:r>
          </w:p>
        </w:tc>
        <w:tc>
          <w:tcPr>
            <w:tcW w:type="dxa" w:w="12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Do RBLs causally improve ecological efficiency of human development in African countries?</w:t>
            </w:r>
          </w:p>
        </w:tc>
        <w:tc>
          <w:tcPr>
            <w:tcW w:type="dxa" w:w="9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Ecological efficiency of human development (composite HDI/CO2 measure)</w:t>
            </w:r>
          </w:p>
        </w:tc>
        <w:tc>
          <w:tcPr>
            <w:tcW w:type="dxa" w:w="9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RBL adoption dummy; disaggregated by resource type</w:t>
            </w:r>
          </w:p>
        </w:tc>
        <w:tc>
          <w:tcPr>
            <w:tcW w:type="dxa" w:w="8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DiD (Callaway-Sant'Anna 2021 staggered) + entropy balancing; doubly robust</w:t>
            </w:r>
          </w:p>
        </w:tc>
        <w:tc>
          <w:tcPr>
            <w:tcW w:type="dxa" w:w="9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Mihalyi et al 2020 + UNDP HDI + WB CO2 data</w:t>
            </w:r>
          </w:p>
        </w:tc>
        <w:tc>
          <w:tcPr>
            <w:tcW w:type="dxa" w:w="6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~30 African countries, 2004–2018</w:t>
            </w:r>
          </w:p>
        </w:tc>
        <w:tc>
          <w:tcPr>
            <w:tcW w:type="dxa" w:w="14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RBLs positive and significant on ecological human development efficiency; oil-backed and mineral-backed positive; cocoa/tobacco-backed negative. Clean development provisions needed.</w:t>
            </w:r>
          </w:p>
        </w:tc>
        <w:tc>
          <w:tcPr>
            <w:tcW w:type="dxa" w:w="12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No debt sustainability analysis; no project design quality; no loan contract terms; limited to African countries.</w:t>
            </w:r>
          </w:p>
        </w:tc>
        <w:tc>
          <w:tcPr>
            <w:tcW w:type="dxa" w:w="65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YES — RBL collateral type affects development outcomes, supporting project-level design argument.</w:t>
            </w:r>
          </w:p>
        </w:tc>
        <w:tc>
          <w:tcPr>
            <w:tcW w:type="dxa" w:w="6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NO</w:t>
            </w:r>
          </w:p>
        </w:tc>
        <w:tc>
          <w:tcPr>
            <w:tcW w:type="dxa" w:w="8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Peer-reviewed; strong causal identification. Not directly debt sustainability but relevant to collateral type → outcome heterogeneity.</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DS06</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Coulibaly, Yacouba</w:t>
            </w:r>
          </w:p>
        </w:tc>
        <w:tc>
          <w:tcPr>
            <w:tcW w:type="dxa" w:w="4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2023</w:t>
            </w:r>
          </w:p>
        </w:tc>
        <w:tc>
          <w:tcPr>
            <w:tcW w:type="dxa" w:w="1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Can Resource-backed Loans Mitigate Climate Change?</w:t>
            </w:r>
          </w:p>
        </w:tc>
        <w:tc>
          <w:tcPr>
            <w:tcW w:type="dxa" w:w="11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HAL Preprint (hal-04072352)</w:t>
            </w:r>
          </w:p>
        </w:tc>
        <w:tc>
          <w:tcPr>
            <w:tcW w:type="dxa" w:w="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Debt Sustainability / Collateralisation (peripheral)</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Do RBLs accelerate resource depletion and forest loss?</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Forest cover loss; CO2 emissions; resource depletion (% GNI)</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RBL adoption dummy</w:t>
            </w:r>
          </w:p>
        </w:tc>
        <w:tc>
          <w:tcPr>
            <w:tcW w:type="dxa" w:w="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Entropy balancing + panel fixed effects</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Mihalyi et al 2020 + FAO forest data + WB WDI</w:t>
            </w:r>
          </w:p>
        </w:tc>
        <w:tc>
          <w:tcPr>
            <w:tcW w:type="dxa" w:w="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~52 developing countries, 2004–2018</w:t>
            </w:r>
          </w:p>
        </w:tc>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RBL countries show resource depletion 8.74% GNI vs 4.18% in non-RBL; greater forest loss in RBL countries. RBLs do not mitigate climate change.</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No debt sustainability channel; no project design quality; no collateral term heterogeneity.</w:t>
            </w:r>
          </w:p>
        </w:tc>
        <w:tc>
          <w:tcPr>
            <w:tcW w:type="dxa" w:w="6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YES — establishes that resource collateralisation has real-sector consequences, motivating need for better project design.</w:t>
            </w:r>
          </w:p>
        </w:tc>
        <w:tc>
          <w:tcPr>
            <w:tcW w:type="dxa" w:w="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NO</w:t>
            </w:r>
          </w:p>
        </w:tc>
        <w:tc>
          <w:tcPr>
            <w:tcW w:type="dxa" w:w="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HAL preprint, not peer-reviewed. Environmental outcomes are a secondary channel for this stream.</w:t>
            </w:r>
          </w:p>
        </w:tc>
      </w:tr>
      <w:tr>
        <w:tc>
          <w:tcPr>
            <w:tcW w:type="dxa" w:w="6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DS07</w:t>
            </w:r>
          </w:p>
        </w:tc>
        <w:tc>
          <w:tcPr>
            <w:tcW w:type="dxa" w:w="10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Oteng, Gamette</w:t>
            </w:r>
          </w:p>
        </w:tc>
        <w:tc>
          <w:tcPr>
            <w:tcW w:type="dxa" w:w="45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2025</w:t>
            </w:r>
          </w:p>
        </w:tc>
        <w:tc>
          <w:tcPr>
            <w:tcW w:type="dxa" w:w="17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Resource-based carbon neutrality: Do resource-backed loans drive clean energy consumption in Africa south of the Sahara?</w:t>
            </w:r>
          </w:p>
        </w:tc>
        <w:tc>
          <w:tcPr>
            <w:tcW w:type="dxa" w:w="11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SSRN Preprint (ssrn.com/abstract=5935987)</w:t>
            </w:r>
          </w:p>
        </w:tc>
        <w:tc>
          <w:tcPr>
            <w:tcW w:type="dxa" w:w="8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Debt Sustainability / Collateralisation (peripheral)</w:t>
            </w:r>
          </w:p>
        </w:tc>
        <w:tc>
          <w:tcPr>
            <w:tcW w:type="dxa" w:w="12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Do RBLs increase access to clean cooking and electricity in SSA?</w:t>
            </w:r>
          </w:p>
        </w:tc>
        <w:tc>
          <w:tcPr>
            <w:tcW w:type="dxa" w:w="9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Clean cooking access; electricity access (% population)</w:t>
            </w:r>
          </w:p>
        </w:tc>
        <w:tc>
          <w:tcPr>
            <w:tcW w:type="dxa" w:w="9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RBL presence dummy</w:t>
            </w:r>
          </w:p>
        </w:tc>
        <w:tc>
          <w:tcPr>
            <w:tcW w:type="dxa" w:w="8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FE, RE, Driscoll-Kraay robust; panel data</w:t>
            </w:r>
          </w:p>
        </w:tc>
        <w:tc>
          <w:tcPr>
            <w:tcW w:type="dxa" w:w="9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SSA country panel, sources not fully specified in available text</w:t>
            </w:r>
          </w:p>
        </w:tc>
        <w:tc>
          <w:tcPr>
            <w:tcW w:type="dxa" w:w="6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234 obs (SSA countries)</w:t>
            </w:r>
          </w:p>
        </w:tc>
        <w:tc>
          <w:tcPr>
            <w:tcW w:type="dxa" w:w="14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RBLs positive but statistically insignificant for electricity access (β=1.495–1.693); positive for clean cooking in some specs. Education and resource rents are more decisive drivers.</w:t>
            </w:r>
          </w:p>
        </w:tc>
        <w:tc>
          <w:tcPr>
            <w:tcW w:type="dxa" w:w="12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No debt sustainability; no project design quality; no collateralisation mechanism; small sample.</w:t>
            </w:r>
          </w:p>
        </w:tc>
        <w:tc>
          <w:tcPr>
            <w:tcW w:type="dxa" w:w="65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YES — null result for RBL→energy access suggests project design quality may be the missing moderator.</w:t>
            </w:r>
          </w:p>
        </w:tc>
        <w:tc>
          <w:tcPr>
            <w:tcW w:type="dxa" w:w="6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NO</w:t>
            </w:r>
          </w:p>
        </w:tc>
        <w:tc>
          <w:tcPr>
            <w:tcW w:type="dxa" w:w="8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SSRN preprint, not peer-reviewed. Null result is informative for your argument.</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DS08</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Sambiri, Mutai, Osisiogu</w:t>
            </w:r>
          </w:p>
        </w:tc>
        <w:tc>
          <w:tcPr>
            <w:tcW w:type="dxa" w:w="4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2025</w:t>
            </w:r>
          </w:p>
        </w:tc>
        <w:tc>
          <w:tcPr>
            <w:tcW w:type="dxa" w:w="1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Natural Resource Rents, Chinese Financing and Sustainable Economic Growth nexus in sub-Saharan Africa</w:t>
            </w:r>
          </w:p>
        </w:tc>
        <w:tc>
          <w:tcPr>
            <w:tcW w:type="dxa" w:w="11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BRICS Journal of Economics 6(3): 63–85</w:t>
            </w:r>
          </w:p>
        </w:tc>
        <w:tc>
          <w:tcPr>
            <w:tcW w:type="dxa" w:w="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Debt Sustainability / Collateralisation (peripheral)</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Do natural resource rents and Chinese financing drive economic growth in SSA?</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GDP growth</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Chinese financing; natural resource rents; FDI; exports/imports</w:t>
            </w:r>
          </w:p>
        </w:tc>
        <w:tc>
          <w:tcPr>
            <w:tcW w:type="dxa" w:w="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7 econometric models: FE, RE, dynamic panel, IV (2SLS); 20-year panel</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World Bank WDI; primary dataset</w:t>
            </w:r>
          </w:p>
        </w:tc>
        <w:tc>
          <w:tcPr>
            <w:tcW w:type="dxa" w:w="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31 SSA countries, 2000–2020 (620 obs)</w:t>
            </w:r>
          </w:p>
        </w:tc>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Chinese financing not robustly significant; resource rents significant only after IV correction (institutional quality mediates); exports positive; FDI negatively associated with growth (capital flight / extractive investment).</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No project-level data; no collateralisation mechanism; no debt sustainability outcome; aggregate macro analysis only.</w:t>
            </w:r>
          </w:p>
        </w:tc>
        <w:tc>
          <w:tcPr>
            <w:tcW w:type="dxa" w:w="65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YES — supports institutional quality as key mediator for natural-resource-linked financing effectiveness.</w:t>
            </w:r>
          </w:p>
        </w:tc>
        <w:tc>
          <w:tcPr>
            <w:tcW w:type="dxa" w:w="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NO</w:t>
            </w:r>
          </w:p>
        </w:tc>
        <w:tc>
          <w:tcPr>
            <w:tcW w:type="dxa" w:w="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Peer-reviewed. Provides SSA-wide macro evidence that resource rents alone do not drive growth — institutions essential.</w:t>
            </w:r>
          </w:p>
        </w:tc>
      </w:tr>
      <w:tr>
        <w:tc>
          <w:tcPr>
            <w:tcW w:type="dxa" w:w="6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DS09</w:t>
            </w:r>
          </w:p>
        </w:tc>
        <w:tc>
          <w:tcPr>
            <w:tcW w:type="dxa" w:w="10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Tuhirirwe, Catherine</w:t>
            </w:r>
          </w:p>
        </w:tc>
        <w:tc>
          <w:tcPr>
            <w:tcW w:type="dxa" w:w="45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2025</w:t>
            </w:r>
          </w:p>
        </w:tc>
        <w:tc>
          <w:tcPr>
            <w:tcW w:type="dxa" w:w="17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The impact of Chinese investment loans on sustainable economic development in Africa: Case studies of Kenya, Senegal, Uganda, and Zambia</w:t>
            </w:r>
          </w:p>
        </w:tc>
        <w:tc>
          <w:tcPr>
            <w:tcW w:type="dxa" w:w="11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PhD Thesis, SOAS University of London</w:t>
            </w:r>
          </w:p>
        </w:tc>
        <w:tc>
          <w:tcPr>
            <w:tcW w:type="dxa" w:w="8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Debt Sustainability / Collateralisation (peripheral)</w:t>
            </w:r>
          </w:p>
        </w:tc>
        <w:tc>
          <w:tcPr>
            <w:tcW w:type="dxa" w:w="12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What is the impact of Chinese investment loans on sustainable development in Africa? How do governance and transparency moderate outcomes?</w:t>
            </w:r>
          </w:p>
        </w:tc>
        <w:tc>
          <w:tcPr>
            <w:tcW w:type="dxa" w:w="9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Sustainable development indicators (composite)</w:t>
            </w:r>
          </w:p>
        </w:tc>
        <w:tc>
          <w:tcPr>
            <w:tcW w:type="dxa" w:w="9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Chinese loan characteristics; debt transparency index; governance</w:t>
            </w:r>
          </w:p>
        </w:tc>
        <w:tc>
          <w:tcPr>
            <w:tcW w:type="dxa" w:w="8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GMM + mixed methods (qualitative case studies + quantitative panel)</w:t>
            </w:r>
          </w:p>
        </w:tc>
        <w:tc>
          <w:tcPr>
            <w:tcW w:type="dxa" w:w="9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World Bank; African Development Bank; national sources</w:t>
            </w:r>
          </w:p>
        </w:tc>
        <w:tc>
          <w:tcPr>
            <w:tcW w:type="dxa" w:w="6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48 African countries, 2000–2020 + 4 case study countries</w:t>
            </w:r>
          </w:p>
        </w:tc>
        <w:tc>
          <w:tcPr>
            <w:tcW w:type="dxa" w:w="14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Chinese loans currently have net negative impact on sustainable development; higher debt transparency → higher project benefits; poor governance → highest risk. BOT delivery model most common.</w:t>
            </w:r>
          </w:p>
        </w:tc>
        <w:tc>
          <w:tcPr>
            <w:tcW w:type="dxa" w:w="12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No RBL-specific collateralisation analysis; no causal debt sustainability model; no project design quality (QE) variable.</w:t>
            </w:r>
          </w:p>
        </w:tc>
        <w:tc>
          <w:tcPr>
            <w:tcW w:type="dxa" w:w="65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YES — confirms transparency and governance as mediators of loan-to-outcome pathway.</w:t>
            </w:r>
          </w:p>
        </w:tc>
        <w:tc>
          <w:tcPr>
            <w:tcW w:type="dxa" w:w="6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NO</w:t>
            </w:r>
          </w:p>
        </w:tc>
        <w:tc>
          <w:tcPr>
            <w:tcW w:type="dxa" w:w="800"/>
            <w:tcBorders>
              <w:top w:val="single" w:color="AAAAAA" w:sz="1"/>
              <w:left w:val="single" w:color="AAAAAA" w:sz="1"/>
              <w:bottom w:val="single" w:color="AAAAAA" w:sz="1"/>
              <w:right w:val="single" w:color="AAAAAA" w:sz="1"/>
            </w:tcBorders>
            <w:shd w:fill="F2F7FD" w:val="clear"/>
            <w:tcMar>
              <w:top w:type="dxa" w:w="60"/>
              <w:left w:type="dxa" w:w="80"/>
              <w:bottom w:type="dxa" w:w="60"/>
              <w:right w:type="dxa" w:w="80"/>
            </w:tcMar>
          </w:tcPr>
          <w:p>
            <w:r>
              <w:rPr>
                <w:rFonts w:ascii="Arial" w:cs="Arial" w:eastAsia="Arial" w:hAnsi="Arial"/>
                <w:sz w:val="16"/>
                <w:szCs w:val="16"/>
              </w:rPr>
              <w:t xml:space="preserve">PhD thesis (SOAS 2024). GMM addresses endogeneity. Relevant for governance-as-moderator argument.</w:t>
            </w:r>
          </w:p>
        </w:tc>
      </w:tr>
    </w:tbl>
    <w:p>
      <w:pPr>
        <w:spacing w:before="60" w:after="60"/>
      </w:pPr>
      <w:r>
        <w:t xml:space="preserve"/>
      </w:r>
    </w:p>
    <w:p>
      <w:pPr>
        <w:pStyle w:val="Heading2"/>
        <w:spacing w:before="280" w:after="160"/>
      </w:pPr>
      <w:r>
        <w:rPr>
          <w:rFonts w:ascii="Arial" w:cs="Arial" w:eastAsia="Arial" w:hAnsi="Arial"/>
          <w:b/>
          <w:bCs/>
          <w:color w:val="2E75B6"/>
          <w:sz w:val="24"/>
          <w:szCs w:val="24"/>
        </w:rPr>
        <w:t xml:space="preserve">Tab A — Excluded Papers</w:t>
      </w:r>
    </w:p>
    <w:p>
      <w:pPr>
        <w:spacing w:before="60" w:after="80"/>
      </w:pPr>
      <w:r>
        <w:rPr>
          <w:rFonts w:ascii="Arial" w:cs="Arial" w:eastAsia="Arial" w:hAnsi="Arial"/>
          <w:sz w:val="18"/>
          <w:szCs w:val="18"/>
        </w:rPr>
        <w:t xml:space="preserve">Exclusion: purely descriptive, no regression/causal claim, single case study, or duplicate.</w:t>
      </w:r>
    </w:p>
    <w:p>
      <w:pPr>
        <w:spacing w:before="60" w:after="60"/>
      </w:pPr>
      <w: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400"/>
        <w:gridCol w:w="2200"/>
        <w:gridCol w:w="1400"/>
        <w:gridCol w:w="2200"/>
      </w:tblGrid>
      <w:tr>
        <w:tc>
          <w:tcPr>
            <w:tcW w:type="dxa" w:w="5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Paper_ID</w:t>
            </w:r>
          </w:p>
        </w:tc>
        <w:tc>
          <w:tcPr>
            <w:tcW w:type="dxa" w:w="9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Authors</w:t>
            </w:r>
          </w:p>
        </w:tc>
        <w:tc>
          <w:tcPr>
            <w:tcW w:type="dxa" w:w="4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Year</w:t>
            </w:r>
          </w:p>
        </w:tc>
        <w:tc>
          <w:tcPr>
            <w:tcW w:type="dxa" w:w="22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Title</w:t>
            </w:r>
          </w:p>
        </w:tc>
        <w:tc>
          <w:tcPr>
            <w:tcW w:type="dxa" w:w="14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Journal / Source</w:t>
            </w:r>
          </w:p>
        </w:tc>
        <w:tc>
          <w:tcPr>
            <w:tcW w:type="dxa" w:w="22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Exclusion Reason</w:t>
            </w:r>
          </w:p>
        </w:tc>
      </w:tr>
      <w:tr>
        <w:tc>
          <w:tcPr>
            <w:tcW w:type="dxa" w:w="500"/>
            <w:tcBorders>
              <w:top w:val="single" w:color="AAAAAA" w:sz="1"/>
              <w:left w:val="single" w:color="AAAAAA" w:sz="1"/>
              <w:bottom w:val="single" w:color="AAAAAA" w:sz="1"/>
              <w:right w:val="single" w:color="AAAAAA" w:sz="1"/>
            </w:tcBorders>
            <w:shd w:fill="FFF2F0" w:val="clear"/>
            <w:tcMar>
              <w:top w:type="dxa" w:w="60"/>
              <w:left w:type="dxa" w:w="80"/>
              <w:bottom w:type="dxa" w:w="60"/>
              <w:right w:type="dxa" w:w="80"/>
            </w:tcMar>
          </w:tcPr>
          <w:p>
            <w:r>
              <w:rPr>
                <w:rFonts w:ascii="Arial" w:cs="Arial" w:eastAsia="Arial" w:hAnsi="Arial"/>
                <w:sz w:val="16"/>
                <w:szCs w:val="16"/>
              </w:rPr>
              <w:t xml:space="preserve">EX01</w:t>
            </w:r>
          </w:p>
        </w:tc>
        <w:tc>
          <w:tcPr>
            <w:tcW w:type="dxa" w:w="900"/>
            <w:tcBorders>
              <w:top w:val="single" w:color="AAAAAA" w:sz="1"/>
              <w:left w:val="single" w:color="AAAAAA" w:sz="1"/>
              <w:bottom w:val="single" w:color="AAAAAA" w:sz="1"/>
              <w:right w:val="single" w:color="AAAAAA" w:sz="1"/>
            </w:tcBorders>
            <w:shd w:fill="FFF2F0" w:val="clear"/>
            <w:tcMar>
              <w:top w:type="dxa" w:w="60"/>
              <w:left w:type="dxa" w:w="80"/>
              <w:bottom w:type="dxa" w:w="60"/>
              <w:right w:type="dxa" w:w="80"/>
            </w:tcMar>
          </w:tcPr>
          <w:p>
            <w:r>
              <w:rPr>
                <w:rFonts w:ascii="Arial" w:cs="Arial" w:eastAsia="Arial" w:hAnsi="Arial"/>
                <w:sz w:val="16"/>
                <w:szCs w:val="16"/>
              </w:rPr>
              <w:t xml:space="preserve">Guzura, Tobias</w:t>
            </w:r>
          </w:p>
        </w:tc>
        <w:tc>
          <w:tcPr>
            <w:tcW w:type="dxa" w:w="400"/>
            <w:tcBorders>
              <w:top w:val="single" w:color="AAAAAA" w:sz="1"/>
              <w:left w:val="single" w:color="AAAAAA" w:sz="1"/>
              <w:bottom w:val="single" w:color="AAAAAA" w:sz="1"/>
              <w:right w:val="single" w:color="AAAAAA" w:sz="1"/>
            </w:tcBorders>
            <w:shd w:fill="FFF2F0" w:val="clear"/>
            <w:tcMar>
              <w:top w:type="dxa" w:w="60"/>
              <w:left w:type="dxa" w:w="80"/>
              <w:bottom w:type="dxa" w:w="60"/>
              <w:right w:type="dxa" w:w="80"/>
            </w:tcMar>
          </w:tcPr>
          <w:p>
            <w:r>
              <w:rPr>
                <w:rFonts w:ascii="Arial" w:cs="Arial" w:eastAsia="Arial" w:hAnsi="Arial"/>
                <w:sz w:val="16"/>
                <w:szCs w:val="16"/>
              </w:rPr>
              <w:t xml:space="preserve">2025</w:t>
            </w:r>
          </w:p>
        </w:tc>
        <w:tc>
          <w:tcPr>
            <w:tcW w:type="dxa" w:w="2200"/>
            <w:tcBorders>
              <w:top w:val="single" w:color="AAAAAA" w:sz="1"/>
              <w:left w:val="single" w:color="AAAAAA" w:sz="1"/>
              <w:bottom w:val="single" w:color="AAAAAA" w:sz="1"/>
              <w:right w:val="single" w:color="AAAAAA" w:sz="1"/>
            </w:tcBorders>
            <w:shd w:fill="FFF2F0" w:val="clear"/>
            <w:tcMar>
              <w:top w:type="dxa" w:w="60"/>
              <w:left w:type="dxa" w:w="80"/>
              <w:bottom w:type="dxa" w:w="60"/>
              <w:right w:type="dxa" w:w="80"/>
            </w:tcMar>
          </w:tcPr>
          <w:p>
            <w:r>
              <w:rPr>
                <w:rFonts w:ascii="Arial" w:cs="Arial" w:eastAsia="Arial" w:hAnsi="Arial"/>
                <w:sz w:val="16"/>
                <w:szCs w:val="16"/>
              </w:rPr>
              <w:t xml:space="preserve">Resource-backed loans and resource-for-infrastructure deals: Opportunities and challenges</w:t>
            </w:r>
          </w:p>
        </w:tc>
        <w:tc>
          <w:tcPr>
            <w:tcW w:type="dxa" w:w="1400"/>
            <w:tcBorders>
              <w:top w:val="single" w:color="AAAAAA" w:sz="1"/>
              <w:left w:val="single" w:color="AAAAAA" w:sz="1"/>
              <w:bottom w:val="single" w:color="AAAAAA" w:sz="1"/>
              <w:right w:val="single" w:color="AAAAAA" w:sz="1"/>
            </w:tcBorders>
            <w:shd w:fill="FFF2F0" w:val="clear"/>
            <w:tcMar>
              <w:top w:type="dxa" w:w="60"/>
              <w:left w:type="dxa" w:w="80"/>
              <w:bottom w:type="dxa" w:w="60"/>
              <w:right w:type="dxa" w:w="80"/>
            </w:tcMar>
          </w:tcPr>
          <w:p>
            <w:r>
              <w:rPr>
                <w:rFonts w:ascii="Arial" w:cs="Arial" w:eastAsia="Arial" w:hAnsi="Arial"/>
                <w:sz w:val="16"/>
                <w:szCs w:val="16"/>
              </w:rPr>
              <w:t xml:space="preserve">Zimbabwe Journal of Applied Research, Vol 5 Special Issue</w:t>
            </w:r>
          </w:p>
        </w:tc>
        <w:tc>
          <w:tcPr>
            <w:tcW w:type="dxa" w:w="2200"/>
            <w:tcBorders>
              <w:top w:val="single" w:color="AAAAAA" w:sz="1"/>
              <w:left w:val="single" w:color="AAAAAA" w:sz="1"/>
              <w:bottom w:val="single" w:color="AAAAAA" w:sz="1"/>
              <w:right w:val="single" w:color="AAAAAA" w:sz="1"/>
            </w:tcBorders>
            <w:shd w:fill="FFF2F0" w:val="clear"/>
            <w:tcMar>
              <w:top w:type="dxa" w:w="60"/>
              <w:left w:type="dxa" w:w="80"/>
              <w:bottom w:type="dxa" w:w="60"/>
              <w:right w:type="dxa" w:w="80"/>
            </w:tcMar>
          </w:tcPr>
          <w:p>
            <w:r>
              <w:rPr>
                <w:rFonts w:ascii="Arial" w:cs="Arial" w:eastAsia="Arial" w:hAnsi="Arial"/>
                <w:sz w:val="16"/>
                <w:szCs w:val="16"/>
              </w:rPr>
              <w:t xml:space="preserve">Purely qualitative / narrative review; applies Dependency Theory and Political Economy of Debt Theory with case studies from Zimbabwe, Angola, Ghana, Zambia. No regression analysis, no quantitative outcome.</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EX02</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Halland &amp; Canuto</w:t>
            </w:r>
          </w:p>
        </w:tc>
        <w:tc>
          <w:tcPr>
            <w:tcW w:type="dxa" w:w="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2013</w:t>
            </w:r>
          </w:p>
        </w:tc>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Resource-Backed Investment Finance in Least Developed Countries</w:t>
            </w:r>
          </w:p>
        </w:tc>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World Bank Economic Premise No. 123</w:t>
            </w:r>
          </w:p>
        </w:tc>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Descriptive policy note presenting two financing models. No regression, no causal identification, n&lt;10 examples.</w:t>
            </w:r>
          </w:p>
        </w:tc>
      </w:tr>
      <w:tr>
        <w:tc>
          <w:tcPr>
            <w:tcW w:type="dxa" w:w="500"/>
            <w:tcBorders>
              <w:top w:val="single" w:color="AAAAAA" w:sz="1"/>
              <w:left w:val="single" w:color="AAAAAA" w:sz="1"/>
              <w:bottom w:val="single" w:color="AAAAAA" w:sz="1"/>
              <w:right w:val="single" w:color="AAAAAA" w:sz="1"/>
            </w:tcBorders>
            <w:shd w:fill="FFF2F0" w:val="clear"/>
            <w:tcMar>
              <w:top w:type="dxa" w:w="60"/>
              <w:left w:type="dxa" w:w="80"/>
              <w:bottom w:type="dxa" w:w="60"/>
              <w:right w:type="dxa" w:w="80"/>
            </w:tcMar>
          </w:tcPr>
          <w:p>
            <w:r>
              <w:rPr>
                <w:rFonts w:ascii="Arial" w:cs="Arial" w:eastAsia="Arial" w:hAnsi="Arial"/>
                <w:sz w:val="16"/>
                <w:szCs w:val="16"/>
              </w:rPr>
              <w:t xml:space="preserve">EX03</w:t>
            </w:r>
          </w:p>
        </w:tc>
        <w:tc>
          <w:tcPr>
            <w:tcW w:type="dxa" w:w="900"/>
            <w:tcBorders>
              <w:top w:val="single" w:color="AAAAAA" w:sz="1"/>
              <w:left w:val="single" w:color="AAAAAA" w:sz="1"/>
              <w:bottom w:val="single" w:color="AAAAAA" w:sz="1"/>
              <w:right w:val="single" w:color="AAAAAA" w:sz="1"/>
            </w:tcBorders>
            <w:shd w:fill="FFF2F0" w:val="clear"/>
            <w:tcMar>
              <w:top w:type="dxa" w:w="60"/>
              <w:left w:type="dxa" w:w="80"/>
              <w:bottom w:type="dxa" w:w="60"/>
              <w:right w:type="dxa" w:w="80"/>
            </w:tcMar>
          </w:tcPr>
          <w:p>
            <w:r>
              <w:rPr>
                <w:rFonts w:ascii="Arial" w:cs="Arial" w:eastAsia="Arial" w:hAnsi="Arial"/>
                <w:sz w:val="16"/>
                <w:szCs w:val="16"/>
              </w:rPr>
              <w:t xml:space="preserve">Purwins, Sebastian</w:t>
            </w:r>
          </w:p>
        </w:tc>
        <w:tc>
          <w:tcPr>
            <w:tcW w:type="dxa" w:w="400"/>
            <w:tcBorders>
              <w:top w:val="single" w:color="AAAAAA" w:sz="1"/>
              <w:left w:val="single" w:color="AAAAAA" w:sz="1"/>
              <w:bottom w:val="single" w:color="AAAAAA" w:sz="1"/>
              <w:right w:val="single" w:color="AAAAAA" w:sz="1"/>
            </w:tcBorders>
            <w:shd w:fill="FFF2F0" w:val="clear"/>
            <w:tcMar>
              <w:top w:type="dxa" w:w="60"/>
              <w:left w:type="dxa" w:w="80"/>
              <w:bottom w:type="dxa" w:w="60"/>
              <w:right w:type="dxa" w:w="80"/>
            </w:tcMar>
          </w:tcPr>
          <w:p>
            <w:r>
              <w:rPr>
                <w:rFonts w:ascii="Arial" w:cs="Arial" w:eastAsia="Arial" w:hAnsi="Arial"/>
                <w:sz w:val="16"/>
                <w:szCs w:val="16"/>
              </w:rPr>
              <w:t xml:space="preserve">2022</w:t>
            </w:r>
          </w:p>
        </w:tc>
        <w:tc>
          <w:tcPr>
            <w:tcW w:type="dxa" w:w="2200"/>
            <w:tcBorders>
              <w:top w:val="single" w:color="AAAAAA" w:sz="1"/>
              <w:left w:val="single" w:color="AAAAAA" w:sz="1"/>
              <w:bottom w:val="single" w:color="AAAAAA" w:sz="1"/>
              <w:right w:val="single" w:color="AAAAAA" w:sz="1"/>
            </w:tcBorders>
            <w:shd w:fill="FFF2F0" w:val="clear"/>
            <w:tcMar>
              <w:top w:type="dxa" w:w="60"/>
              <w:left w:type="dxa" w:w="80"/>
              <w:bottom w:type="dxa" w:w="60"/>
              <w:right w:type="dxa" w:w="80"/>
            </w:tcMar>
          </w:tcPr>
          <w:p>
            <w:r>
              <w:rPr>
                <w:rFonts w:ascii="Arial" w:cs="Arial" w:eastAsia="Arial" w:hAnsi="Arial"/>
                <w:sz w:val="16"/>
                <w:szCs w:val="16"/>
              </w:rPr>
              <w:t xml:space="preserve">Same Same, but Different: Ghana's Sinohydro Deal as Evolved 'Angola Model'?</w:t>
            </w:r>
          </w:p>
        </w:tc>
        <w:tc>
          <w:tcPr>
            <w:tcW w:type="dxa" w:w="1400"/>
            <w:tcBorders>
              <w:top w:val="single" w:color="AAAAAA" w:sz="1"/>
              <w:left w:val="single" w:color="AAAAAA" w:sz="1"/>
              <w:bottom w:val="single" w:color="AAAAAA" w:sz="1"/>
              <w:right w:val="single" w:color="AAAAAA" w:sz="1"/>
            </w:tcBorders>
            <w:shd w:fill="FFF2F0" w:val="clear"/>
            <w:tcMar>
              <w:top w:type="dxa" w:w="60"/>
              <w:left w:type="dxa" w:w="80"/>
              <w:bottom w:type="dxa" w:w="60"/>
              <w:right w:type="dxa" w:w="80"/>
            </w:tcMar>
          </w:tcPr>
          <w:p>
            <w:r>
              <w:rPr>
                <w:rFonts w:ascii="Arial" w:cs="Arial" w:eastAsia="Arial" w:hAnsi="Arial"/>
                <w:sz w:val="16"/>
                <w:szCs w:val="16"/>
              </w:rPr>
              <w:t xml:space="preserve">Insight on Africa 15(1): 46–70</w:t>
            </w:r>
          </w:p>
        </w:tc>
        <w:tc>
          <w:tcPr>
            <w:tcW w:type="dxa" w:w="2200"/>
            <w:tcBorders>
              <w:top w:val="single" w:color="AAAAAA" w:sz="1"/>
              <w:left w:val="single" w:color="AAAAAA" w:sz="1"/>
              <w:bottom w:val="single" w:color="AAAAAA" w:sz="1"/>
              <w:right w:val="single" w:color="AAAAAA" w:sz="1"/>
            </w:tcBorders>
            <w:shd w:fill="FFF2F0" w:val="clear"/>
            <w:tcMar>
              <w:top w:type="dxa" w:w="60"/>
              <w:left w:type="dxa" w:w="80"/>
              <w:bottom w:type="dxa" w:w="60"/>
              <w:right w:type="dxa" w:w="80"/>
            </w:tcMar>
          </w:tcPr>
          <w:p>
            <w:r>
              <w:rPr>
                <w:rFonts w:ascii="Arial" w:cs="Arial" w:eastAsia="Arial" w:hAnsi="Arial"/>
                <w:sz w:val="16"/>
                <w:szCs w:val="16"/>
              </w:rPr>
              <w:t xml:space="preserve">Single-case qualitative comparison of Ghana vs Angola model. No quantitative outcome, no regression.</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EX04</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Brautigam &amp; Hwang</w:t>
            </w:r>
          </w:p>
        </w:tc>
        <w:tc>
          <w:tcPr>
            <w:tcW w:type="dxa" w:w="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2016</w:t>
            </w:r>
          </w:p>
        </w:tc>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Eastern Promises: New Data on Chinese Loans in Africa, 2000 to 2014</w:t>
            </w:r>
          </w:p>
        </w:tc>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SAIS CARI Working Paper 2016/4</w:t>
            </w:r>
          </w:p>
        </w:tc>
        <w:tc>
          <w:tcPr>
            <w:tcW w:type="dxa" w:w="2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Data compilation and descriptive analysis. No regression or causal identification — excluded despite credible source.</w:t>
            </w:r>
          </w:p>
        </w:tc>
      </w:tr>
      <w:tr>
        <w:tc>
          <w:tcPr>
            <w:tcW w:type="dxa" w:w="500"/>
            <w:tcBorders>
              <w:top w:val="single" w:color="AAAAAA" w:sz="1"/>
              <w:left w:val="single" w:color="AAAAAA" w:sz="1"/>
              <w:bottom w:val="single" w:color="AAAAAA" w:sz="1"/>
              <w:right w:val="single" w:color="AAAAAA" w:sz="1"/>
            </w:tcBorders>
            <w:shd w:fill="FFF2F0" w:val="clear"/>
            <w:tcMar>
              <w:top w:type="dxa" w:w="60"/>
              <w:left w:type="dxa" w:w="80"/>
              <w:bottom w:type="dxa" w:w="60"/>
              <w:right w:type="dxa" w:w="80"/>
            </w:tcMar>
          </w:tcPr>
          <w:p>
            <w:r>
              <w:rPr>
                <w:rFonts w:ascii="Arial" w:cs="Arial" w:eastAsia="Arial" w:hAnsi="Arial"/>
                <w:sz w:val="16"/>
                <w:szCs w:val="16"/>
              </w:rPr>
              <w:t xml:space="preserve">EX05</w:t>
            </w:r>
          </w:p>
        </w:tc>
        <w:tc>
          <w:tcPr>
            <w:tcW w:type="dxa" w:w="900"/>
            <w:tcBorders>
              <w:top w:val="single" w:color="AAAAAA" w:sz="1"/>
              <w:left w:val="single" w:color="AAAAAA" w:sz="1"/>
              <w:bottom w:val="single" w:color="AAAAAA" w:sz="1"/>
              <w:right w:val="single" w:color="AAAAAA" w:sz="1"/>
            </w:tcBorders>
            <w:shd w:fill="FFF2F0" w:val="clear"/>
            <w:tcMar>
              <w:top w:type="dxa" w:w="60"/>
              <w:left w:type="dxa" w:w="80"/>
              <w:bottom w:type="dxa" w:w="60"/>
              <w:right w:type="dxa" w:w="80"/>
            </w:tcMar>
          </w:tcPr>
          <w:p>
            <w:r>
              <w:rPr>
                <w:rFonts w:ascii="Arial" w:cs="Arial" w:eastAsia="Arial" w:hAnsi="Arial"/>
                <w:sz w:val="16"/>
                <w:szCs w:val="16"/>
              </w:rPr>
              <w:t xml:space="preserve">Landry &amp; Tang (SSRN version)</w:t>
            </w:r>
          </w:p>
        </w:tc>
        <w:tc>
          <w:tcPr>
            <w:tcW w:type="dxa" w:w="400"/>
            <w:tcBorders>
              <w:top w:val="single" w:color="AAAAAA" w:sz="1"/>
              <w:left w:val="single" w:color="AAAAAA" w:sz="1"/>
              <w:bottom w:val="single" w:color="AAAAAA" w:sz="1"/>
              <w:right w:val="single" w:color="AAAAAA" w:sz="1"/>
            </w:tcBorders>
            <w:shd w:fill="FFF2F0" w:val="clear"/>
            <w:tcMar>
              <w:top w:type="dxa" w:w="60"/>
              <w:left w:type="dxa" w:w="80"/>
              <w:bottom w:type="dxa" w:w="60"/>
              <w:right w:type="dxa" w:w="80"/>
            </w:tcMar>
          </w:tcPr>
          <w:p>
            <w:r>
              <w:rPr>
                <w:rFonts w:ascii="Arial" w:cs="Arial" w:eastAsia="Arial" w:hAnsi="Arial"/>
                <w:sz w:val="16"/>
                <w:szCs w:val="16"/>
              </w:rPr>
              <w:t xml:space="preserve">2024</w:t>
            </w:r>
          </w:p>
        </w:tc>
        <w:tc>
          <w:tcPr>
            <w:tcW w:type="dxa" w:w="2200"/>
            <w:tcBorders>
              <w:top w:val="single" w:color="AAAAAA" w:sz="1"/>
              <w:left w:val="single" w:color="AAAAAA" w:sz="1"/>
              <w:bottom w:val="single" w:color="AAAAAA" w:sz="1"/>
              <w:right w:val="single" w:color="AAAAAA" w:sz="1"/>
            </w:tcBorders>
            <w:shd w:fill="FFF2F0" w:val="clear"/>
            <w:tcMar>
              <w:top w:type="dxa" w:w="60"/>
              <w:left w:type="dxa" w:w="80"/>
              <w:bottom w:type="dxa" w:w="60"/>
              <w:right w:type="dxa" w:w="80"/>
            </w:tcMar>
          </w:tcPr>
          <w:p>
            <w:r>
              <w:rPr>
                <w:rFonts w:ascii="Arial" w:cs="Arial" w:eastAsia="Arial" w:hAnsi="Arial"/>
                <w:sz w:val="16"/>
                <w:szCs w:val="16"/>
              </w:rPr>
              <w:t xml:space="preserve">Calculated Capital: The Business Logic Behind Chinese Lending in the Global South</w:t>
            </w:r>
          </w:p>
        </w:tc>
        <w:tc>
          <w:tcPr>
            <w:tcW w:type="dxa" w:w="1400"/>
            <w:tcBorders>
              <w:top w:val="single" w:color="AAAAAA" w:sz="1"/>
              <w:left w:val="single" w:color="AAAAAA" w:sz="1"/>
              <w:bottom w:val="single" w:color="AAAAAA" w:sz="1"/>
              <w:right w:val="single" w:color="AAAAAA" w:sz="1"/>
            </w:tcBorders>
            <w:shd w:fill="FFF2F0" w:val="clear"/>
            <w:tcMar>
              <w:top w:type="dxa" w:w="60"/>
              <w:left w:type="dxa" w:w="80"/>
              <w:bottom w:type="dxa" w:w="60"/>
              <w:right w:type="dxa" w:w="80"/>
            </w:tcMar>
          </w:tcPr>
          <w:p>
            <w:r>
              <w:rPr>
                <w:rFonts w:ascii="Arial" w:cs="Arial" w:eastAsia="Arial" w:hAnsi="Arial"/>
                <w:sz w:val="16"/>
                <w:szCs w:val="16"/>
              </w:rPr>
              <w:t xml:space="preserve">SSRN Preprint (ssrn.com/abstract=4747576)</w:t>
            </w:r>
          </w:p>
        </w:tc>
        <w:tc>
          <w:tcPr>
            <w:tcW w:type="dxa" w:w="2200"/>
            <w:tcBorders>
              <w:top w:val="single" w:color="AAAAAA" w:sz="1"/>
              <w:left w:val="single" w:color="AAAAAA" w:sz="1"/>
              <w:bottom w:val="single" w:color="AAAAAA" w:sz="1"/>
              <w:right w:val="single" w:color="AAAAAA" w:sz="1"/>
            </w:tcBorders>
            <w:shd w:fill="FFF2F0" w:val="clear"/>
            <w:tcMar>
              <w:top w:type="dxa" w:w="60"/>
              <w:left w:type="dxa" w:w="80"/>
              <w:bottom w:type="dxa" w:w="60"/>
              <w:right w:type="dxa" w:w="80"/>
            </w:tcMar>
          </w:tcPr>
          <w:p>
            <w:r>
              <w:rPr>
                <w:rFonts w:ascii="Arial" w:cs="Arial" w:eastAsia="Arial" w:hAnsi="Arial"/>
                <w:sz w:val="16"/>
                <w:szCs w:val="16"/>
              </w:rPr>
              <w:t xml:space="preserve">Duplicate: identical paper to DS04 / GCIWP034RBLsFIN.pdf. SSRN preprint version of the same GCI Working Paper 034.</w:t>
            </w:r>
          </w:p>
        </w:tc>
      </w:tr>
    </w:tbl>
    <w:p>
      <w:pPr>
        <w:spacing w:before="60" w:after="60"/>
      </w:pPr>
      <w:r>
        <w:t xml:space="preserve"/>
      </w:r>
    </w:p>
    <w:p>
      <w:pPr>
        <w:pStyle w:val="Heading1"/>
        <w:spacing w:before="360" w:after="200"/>
      </w:pPr>
      <w:r>
        <w:rPr>
          <w:rFonts w:ascii="Arial" w:cs="Arial" w:eastAsia="Arial" w:hAnsi="Arial"/>
          <w:b/>
          <w:bCs/>
          <w:color w:val="1F4E79"/>
          <w:sz w:val="28"/>
          <w:szCs w:val="28"/>
        </w:rPr>
        <w:t xml:space="preserve">TAB B — DEEP READ PAPERS (16 Fields Each)</w:t>
      </w:r>
    </w:p>
    <w:p>
      <w:pPr>
        <w:spacing w:before="60" w:after="80"/>
      </w:pPr>
      <w:r>
        <w:rPr>
          <w:rFonts w:ascii="Arial" w:cs="Arial" w:eastAsia="Arial" w:hAnsi="Arial"/>
          <w:sz w:val="18"/>
          <w:szCs w:val="18"/>
        </w:rPr>
        <w:t xml:space="preserve">Papers coded Deep_Read=YES: DS01, DS02, DS03, DS04. Tab B record follows immediately after each.</w:t>
      </w:r>
    </w:p>
    <w:p>
      <w:pPr>
        <w:spacing w:before="60" w:after="60"/>
      </w:pPr>
      <w:r>
        <w:t xml:space="preserve"/>
      </w:r>
    </w:p>
    <w:p>
      <w:pPr>
        <w:spacing w:before="200" w:after="120"/>
      </w:pPr>
      <w:r>
        <w:rPr>
          <w:rFonts w:ascii="Arial" w:cs="Arial" w:eastAsia="Arial" w:hAnsi="Arial"/>
          <w:b/>
          <w:bCs/>
          <w:color w:val="2E75B6"/>
          <w:sz w:val="20"/>
          <w:szCs w:val="20"/>
        </w:rPr>
        <w:t xml:space="preserve">Tab B — DS01: Coulibaly, Minea &amp; Villieu (2022) — Public Debt Sustainability</w:t>
      </w:r>
    </w:p>
    <w:tbl>
      <w:tblPr>
        <w:tblW w:type="dxa" w:w="15900"/>
        <w:tblBorders>
          <w:top w:val="single" w:color="auto" w:sz="4"/>
          <w:left w:val="single" w:color="auto" w:sz="4"/>
          <w:bottom w:val="single" w:color="auto" w:sz="4"/>
          <w:right w:val="single" w:color="auto" w:sz="4"/>
          <w:insideH w:val="single" w:color="auto" w:sz="4"/>
          <w:insideV w:val="single" w:color="auto" w:sz="4"/>
        </w:tblBorders>
      </w:tblPr>
      <w:tblGrid>
        <w:gridCol w:w="500"/>
        <w:gridCol w:w="800"/>
        <w:gridCol w:w="1200"/>
        <w:gridCol w:w="1000"/>
        <w:gridCol w:w="1200"/>
        <w:gridCol w:w="700"/>
        <w:gridCol w:w="700"/>
        <w:gridCol w:w="1000"/>
        <w:gridCol w:w="1100"/>
        <w:gridCol w:w="900"/>
        <w:gridCol w:w="1000"/>
        <w:gridCol w:w="900"/>
        <w:gridCol w:w="800"/>
        <w:gridCol w:w="700"/>
        <w:gridCol w:w="900"/>
        <w:gridCol w:w="1100"/>
        <w:gridCol w:w="1400"/>
      </w:tblGrid>
      <w:tr>
        <w:tc>
          <w:tcPr>
            <w:tcW w:type="dxa" w:w="5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Paper_ID</w:t>
            </w:r>
          </w:p>
        </w:tc>
        <w:tc>
          <w:tcPr>
            <w:tcW w:type="dxa" w:w="8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Authors_Year</w:t>
            </w:r>
          </w:p>
        </w:tc>
        <w:tc>
          <w:tcPr>
            <w:tcW w:type="dxa" w:w="12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Model_Specification</w:t>
            </w:r>
          </w:p>
        </w:tc>
        <w:tc>
          <w:tcPr>
            <w:tcW w:type="dxa" w:w="10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Identification_Strategy</w:t>
            </w:r>
          </w:p>
        </w:tc>
        <w:tc>
          <w:tcPr>
            <w:tcW w:type="dxa" w:w="12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Control_Variables</w:t>
            </w:r>
          </w:p>
        </w:tc>
        <w:tc>
          <w:tcPr>
            <w:tcW w:type="dxa" w:w="7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Fixed_Effects</w:t>
            </w:r>
          </w:p>
        </w:tc>
        <w:tc>
          <w:tcPr>
            <w:tcW w:type="dxa" w:w="7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Standard_Errors</w:t>
            </w:r>
          </w:p>
        </w:tc>
        <w:tc>
          <w:tcPr>
            <w:tcW w:type="dxa" w:w="10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Main_Coefficient</w:t>
            </w:r>
          </w:p>
        </w:tc>
        <w:tc>
          <w:tcPr>
            <w:tcW w:type="dxa" w:w="11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Robustness_Tests</w:t>
            </w:r>
          </w:p>
        </w:tc>
        <w:tc>
          <w:tcPr>
            <w:tcW w:type="dxa" w:w="9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Bias_Acknowledged</w:t>
            </w:r>
          </w:p>
        </w:tc>
        <w:tc>
          <w:tcPr>
            <w:tcW w:type="dxa" w:w="10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Bias_NOT_Addressed</w:t>
            </w:r>
          </w:p>
        </w:tc>
        <w:tc>
          <w:tcPr>
            <w:tcW w:type="dxa" w:w="9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Data_Source_Detail</w:t>
            </w:r>
          </w:p>
        </w:tc>
        <w:tc>
          <w:tcPr>
            <w:tcW w:type="dxa" w:w="8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Sample_Restrictions</w:t>
            </w:r>
          </w:p>
        </w:tc>
        <w:tc>
          <w:tcPr>
            <w:tcW w:type="dxa" w:w="7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Cross_Institution</w:t>
            </w:r>
          </w:p>
        </w:tc>
        <w:tc>
          <w:tcPr>
            <w:tcW w:type="dxa" w:w="9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Heterogeneity_Tests</w:t>
            </w:r>
          </w:p>
        </w:tc>
        <w:tc>
          <w:tcPr>
            <w:tcW w:type="dxa" w:w="11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Your_Advance</w:t>
            </w:r>
          </w:p>
        </w:tc>
        <w:tc>
          <w:tcPr>
            <w:tcW w:type="dxa" w:w="14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Quote_For_Paper</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DS01</w:t>
            </w:r>
          </w:p>
        </w:tc>
        <w:tc>
          <w:tcPr>
            <w:tcW w:type="dxa" w:w="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Coulibaly, Minea &amp; Villieu (2022)</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Entropy balancing (Hainmueller 2012) as primary; ATT estimator comparing public debt at t+5 between RBL and non-RBL countries after reweighting; secondary PSM estimation.</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Conditional independence assumption: entropy balancing reweights non-RBL countries to be statistically identical to RBL countries on all observable pre-treatment characteristics, removing selection-on-observables bias.</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GDP per capita, trade openness, inflation, institutional quality (WGI), resource rents (% GDP), initial debt level, investment rate, financial development.</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No country FE in baseline entropy balancing ATT; time period controls included.</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Robust standard errors in PSM regressions.</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ATT positive and statistically significant: RBL adoption associated with higher public debt at t+5; exact point estimate indicates debt increases meaningfully in subscribing countries versus synthetic non-subscribing comparators. Institutional quality moderates magnitude.</w:t>
            </w:r>
          </w:p>
        </w:tc>
        <w:tc>
          <w:tcPr>
            <w:tcW w:type="dxa" w:w="11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PSM with 4 matching algorithms (N-nearest, radius, kernel, local linear); sensitivity tests; sub-sample by income level; Rosenbaum sensitivity bounds.</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Selection bias in RBL adoption (countries in fiscal distress more likely to sign RBLs).</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Does not address project-level design quality as a moderator; does not disaggregate by loan contract terms or resource type; reverse causality from debt levels to RBL demand not fully excluded; no project-level outcome data.</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Mihalyi et al. (2020) RBL database (hand-coded, primary source); World Bank World Development Indicators (WDI) for macro controls and debt data; 2000–2018.</w:t>
            </w:r>
          </w:p>
        </w:tc>
        <w:tc>
          <w:tcPr>
            <w:tcW w:type="dxa" w:w="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Developing countries with available data; excludes developed OECD economies; Africa and Latin America primary but not exclusive.</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Not cross-institutional; covers loans from multiple creditors (primarily China) but framed as country-level treatment not lender-specific.</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By income level: low-income countries show larger debt increases. No RBL-type heterogeneity in main paper.</w:t>
            </w:r>
          </w:p>
        </w:tc>
        <w:tc>
          <w:tcPr>
            <w:tcW w:type="dxa" w:w="11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Your OR=27.8 operates at the project design level upstream of the debt accumulation shown here. This paper establishes the macro pathway (RBL→debt); your study would identify project QE as a key moderator of whether that pathway leads to successful or failed infrastructure and sustainable vs unsustainable debt.</w:t>
            </w:r>
          </w:p>
        </w:tc>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"underwriting resource-backed loans is not only a crucial dimension to the provision of public goods and services... but also a path to better fiscal policy management some year after the signing of loans... countries will need to focus on anti-corruption, good governance and strengthening institutional quality to prevent these resource-backed loans from triggering a pro-cyclical effect on their fiscal policy."</w:t>
            </w:r>
          </w:p>
        </w:tc>
      </w:tr>
    </w:tbl>
    <w:p>
      <w:pPr>
        <w:spacing w:before="60" w:after="60"/>
      </w:pPr>
      <w:r>
        <w:t xml:space="preserve"/>
      </w:r>
    </w:p>
    <w:p>
      <w:pPr>
        <w:spacing w:before="200" w:after="120"/>
      </w:pPr>
      <w:r>
        <w:rPr>
          <w:rFonts w:ascii="Arial" w:cs="Arial" w:eastAsia="Arial" w:hAnsi="Arial"/>
          <w:b/>
          <w:bCs/>
          <w:color w:val="2E75B6"/>
          <w:sz w:val="20"/>
          <w:szCs w:val="20"/>
        </w:rPr>
        <w:t xml:space="preserve">Tab B — DS02: Coulibaly (2024) — Sovereign Debt Default</w:t>
      </w:r>
    </w:p>
    <w:tbl>
      <w:tblPr>
        <w:tblW w:type="dxa" w:w="15900"/>
        <w:tblBorders>
          <w:top w:val="single" w:color="auto" w:sz="4"/>
          <w:left w:val="single" w:color="auto" w:sz="4"/>
          <w:bottom w:val="single" w:color="auto" w:sz="4"/>
          <w:right w:val="single" w:color="auto" w:sz="4"/>
          <w:insideH w:val="single" w:color="auto" w:sz="4"/>
          <w:insideV w:val="single" w:color="auto" w:sz="4"/>
        </w:tblBorders>
      </w:tblPr>
      <w:tblGrid>
        <w:gridCol w:w="500"/>
        <w:gridCol w:w="800"/>
        <w:gridCol w:w="1200"/>
        <w:gridCol w:w="1000"/>
        <w:gridCol w:w="1200"/>
        <w:gridCol w:w="700"/>
        <w:gridCol w:w="700"/>
        <w:gridCol w:w="1000"/>
        <w:gridCol w:w="1100"/>
        <w:gridCol w:w="900"/>
        <w:gridCol w:w="1000"/>
        <w:gridCol w:w="900"/>
        <w:gridCol w:w="800"/>
        <w:gridCol w:w="700"/>
        <w:gridCol w:w="900"/>
        <w:gridCol w:w="1100"/>
        <w:gridCol w:w="1400"/>
      </w:tblGrid>
      <w:tr>
        <w:tc>
          <w:tcPr>
            <w:tcW w:type="dxa" w:w="5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Paper_ID</w:t>
            </w:r>
          </w:p>
        </w:tc>
        <w:tc>
          <w:tcPr>
            <w:tcW w:type="dxa" w:w="8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Authors_Year</w:t>
            </w:r>
          </w:p>
        </w:tc>
        <w:tc>
          <w:tcPr>
            <w:tcW w:type="dxa" w:w="12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Model_Specification</w:t>
            </w:r>
          </w:p>
        </w:tc>
        <w:tc>
          <w:tcPr>
            <w:tcW w:type="dxa" w:w="10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Identification_Strategy</w:t>
            </w:r>
          </w:p>
        </w:tc>
        <w:tc>
          <w:tcPr>
            <w:tcW w:type="dxa" w:w="12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Control_Variables</w:t>
            </w:r>
          </w:p>
        </w:tc>
        <w:tc>
          <w:tcPr>
            <w:tcW w:type="dxa" w:w="7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Fixed_Effects</w:t>
            </w:r>
          </w:p>
        </w:tc>
        <w:tc>
          <w:tcPr>
            <w:tcW w:type="dxa" w:w="7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Standard_Errors</w:t>
            </w:r>
          </w:p>
        </w:tc>
        <w:tc>
          <w:tcPr>
            <w:tcW w:type="dxa" w:w="10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Main_Coefficient</w:t>
            </w:r>
          </w:p>
        </w:tc>
        <w:tc>
          <w:tcPr>
            <w:tcW w:type="dxa" w:w="11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Robustness_Tests</w:t>
            </w:r>
          </w:p>
        </w:tc>
        <w:tc>
          <w:tcPr>
            <w:tcW w:type="dxa" w:w="9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Bias_Acknowledged</w:t>
            </w:r>
          </w:p>
        </w:tc>
        <w:tc>
          <w:tcPr>
            <w:tcW w:type="dxa" w:w="10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Bias_NOT_Addressed</w:t>
            </w:r>
          </w:p>
        </w:tc>
        <w:tc>
          <w:tcPr>
            <w:tcW w:type="dxa" w:w="9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Data_Source_Detail</w:t>
            </w:r>
          </w:p>
        </w:tc>
        <w:tc>
          <w:tcPr>
            <w:tcW w:type="dxa" w:w="8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Sample_Restrictions</w:t>
            </w:r>
          </w:p>
        </w:tc>
        <w:tc>
          <w:tcPr>
            <w:tcW w:type="dxa" w:w="7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Cross_Institution</w:t>
            </w:r>
          </w:p>
        </w:tc>
        <w:tc>
          <w:tcPr>
            <w:tcW w:type="dxa" w:w="9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Heterogeneity_Tests</w:t>
            </w:r>
          </w:p>
        </w:tc>
        <w:tc>
          <w:tcPr>
            <w:tcW w:type="dxa" w:w="11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Your_Advance</w:t>
            </w:r>
          </w:p>
        </w:tc>
        <w:tc>
          <w:tcPr>
            <w:tcW w:type="dxa" w:w="14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Quote_For_Paper</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DS02</w:t>
            </w:r>
          </w:p>
        </w:tc>
        <w:tc>
          <w:tcPr>
            <w:tcW w:type="dxa" w:w="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Coulibaly (2024)</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Entropy balancing as primary identification strategy; ATT measured as difference in sovereign debt default probability between RBL and matched non-RBL countries; multiple robustness specifications.</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Conditional independence assumption under entropy balancing; orthogonality of treatment to covariates after reweighting; supported by Rosenbaum sensitivity bounds (cut-points 1.95–3.0 at 10% significance) confirming robustness to hidden bias.</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GDP per capita, trade openness, inflation, institutional quality (WGI governance indicators), debt level (% GDP), IMF programme participation, financial development, commodity price index.</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Country and year FE in panel Driscoll-Kraay and system GMM robustness specifications.</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Robust; Driscoll-Kraay (cross-sectional dependence and serial correlation corrected) in panel specs.</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Unconditional default probability: 2.2%; conditional on RBL: 3.7%; difference = +1.5 pp (significant). ATT robustly positive across all 6+ identification methods. Institutions moderate effect: in high-institutional-quality countries the default-increasing effect of RBLs is substantially reduced.</w:t>
            </w:r>
          </w:p>
        </w:tc>
        <w:tc>
          <w:tcPr>
            <w:tcW w:type="dxa" w:w="11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PSM (N=1,2,3; radius r=0.005/0.01/0.05; kernel; local linear regression); propensity score weighting; coarsened exact matching; panel FE Driscoll-Kraay; system GMM; adding additional covariates to first-stage model. All methods confirm main result.</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Self-selection into RBL adoption by fiscally distressed countries (acknowledged and addressed via entropy balancing).</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Project-level design quality as moderator not considered; loan contract terms (collateral quality, grace period) not disaggregated; sample limited to observable characteristics — unobserved political economy determinants of RBL adoption may remain.</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Bank of Canada Sovereign Default Database (Beers &amp; Mavalwalla 2017) for default outcomes; Mihalyi et al. (2020) for RBL identification; World Bank WDI for controls; 2000–2018.</w:t>
            </w:r>
          </w:p>
        </w:tc>
        <w:tc>
          <w:tcPr>
            <w:tcW w:type="dxa" w:w="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Developing countries only; excludes countries without natural resources (necessary condition for RBL); requires non-missing data on WDI controls.</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Covers Africa and Latin America (cross-regional); not limited to Chinese lenders — framework is lender-agnostic.</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By institutional quality (interaction with WGI governance score): poor institutions significantly amplify default risk from RBLs. No heterogeneity by resource type.</w:t>
            </w:r>
          </w:p>
        </w:tc>
        <w:tc>
          <w:tcPr>
            <w:tcW w:type="dxa" w:w="11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Your project-level QE predictor is precisely the missing moderator in this paper. If project design quality is poor, infrastructure fails to generate the revenue stream needed to service the resource-backed debt, directly increasing default probability. Your OR=27.8 provides the within-project mechanism that DS02 cannot observe at macro level.</w:t>
            </w:r>
          </w:p>
        </w:tc>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"Resource-backed loans increases sovereign debt default." And: "The conditional probability — measuring the probability of a sovereign debt default if the country signed a resource-backed loan — is 3.7 percentage points [vs 2.2% unconditional]."</w:t>
            </w:r>
          </w:p>
        </w:tc>
      </w:tr>
    </w:tbl>
    <w:p>
      <w:pPr>
        <w:spacing w:before="60" w:after="60"/>
      </w:pPr>
      <w:r>
        <w:t xml:space="preserve"/>
      </w:r>
    </w:p>
    <w:p>
      <w:pPr>
        <w:spacing w:before="200" w:after="120"/>
      </w:pPr>
      <w:r>
        <w:rPr>
          <w:rFonts w:ascii="Arial" w:cs="Arial" w:eastAsia="Arial" w:hAnsi="Arial"/>
          <w:b/>
          <w:bCs/>
          <w:color w:val="2E75B6"/>
          <w:sz w:val="20"/>
          <w:szCs w:val="20"/>
        </w:rPr>
        <w:t xml:space="preserve">Tab B — DS03: Coulibaly, Kilolo &amp; Hacime (2025) — Sovereign Credit Rating</w:t>
      </w:r>
    </w:p>
    <w:tbl>
      <w:tblPr>
        <w:tblW w:type="dxa" w:w="15900"/>
        <w:tblBorders>
          <w:top w:val="single" w:color="auto" w:sz="4"/>
          <w:left w:val="single" w:color="auto" w:sz="4"/>
          <w:bottom w:val="single" w:color="auto" w:sz="4"/>
          <w:right w:val="single" w:color="auto" w:sz="4"/>
          <w:insideH w:val="single" w:color="auto" w:sz="4"/>
          <w:insideV w:val="single" w:color="auto" w:sz="4"/>
        </w:tblBorders>
      </w:tblPr>
      <w:tblGrid>
        <w:gridCol w:w="500"/>
        <w:gridCol w:w="800"/>
        <w:gridCol w:w="1200"/>
        <w:gridCol w:w="1000"/>
        <w:gridCol w:w="1200"/>
        <w:gridCol w:w="700"/>
        <w:gridCol w:w="700"/>
        <w:gridCol w:w="1000"/>
        <w:gridCol w:w="1100"/>
        <w:gridCol w:w="900"/>
        <w:gridCol w:w="1000"/>
        <w:gridCol w:w="900"/>
        <w:gridCol w:w="800"/>
        <w:gridCol w:w="700"/>
        <w:gridCol w:w="900"/>
        <w:gridCol w:w="1100"/>
        <w:gridCol w:w="1400"/>
      </w:tblGrid>
      <w:tr>
        <w:tc>
          <w:tcPr>
            <w:tcW w:type="dxa" w:w="5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Paper_ID</w:t>
            </w:r>
          </w:p>
        </w:tc>
        <w:tc>
          <w:tcPr>
            <w:tcW w:type="dxa" w:w="8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Authors_Year</w:t>
            </w:r>
          </w:p>
        </w:tc>
        <w:tc>
          <w:tcPr>
            <w:tcW w:type="dxa" w:w="12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Model_Specification</w:t>
            </w:r>
          </w:p>
        </w:tc>
        <w:tc>
          <w:tcPr>
            <w:tcW w:type="dxa" w:w="10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Identification_Strategy</w:t>
            </w:r>
          </w:p>
        </w:tc>
        <w:tc>
          <w:tcPr>
            <w:tcW w:type="dxa" w:w="12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Control_Variables</w:t>
            </w:r>
          </w:p>
        </w:tc>
        <w:tc>
          <w:tcPr>
            <w:tcW w:type="dxa" w:w="7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Fixed_Effects</w:t>
            </w:r>
          </w:p>
        </w:tc>
        <w:tc>
          <w:tcPr>
            <w:tcW w:type="dxa" w:w="7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Standard_Errors</w:t>
            </w:r>
          </w:p>
        </w:tc>
        <w:tc>
          <w:tcPr>
            <w:tcW w:type="dxa" w:w="10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Main_Coefficient</w:t>
            </w:r>
          </w:p>
        </w:tc>
        <w:tc>
          <w:tcPr>
            <w:tcW w:type="dxa" w:w="11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Robustness_Tests</w:t>
            </w:r>
          </w:p>
        </w:tc>
        <w:tc>
          <w:tcPr>
            <w:tcW w:type="dxa" w:w="9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Bias_Acknowledged</w:t>
            </w:r>
          </w:p>
        </w:tc>
        <w:tc>
          <w:tcPr>
            <w:tcW w:type="dxa" w:w="10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Bias_NOT_Addressed</w:t>
            </w:r>
          </w:p>
        </w:tc>
        <w:tc>
          <w:tcPr>
            <w:tcW w:type="dxa" w:w="9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Data_Source_Detail</w:t>
            </w:r>
          </w:p>
        </w:tc>
        <w:tc>
          <w:tcPr>
            <w:tcW w:type="dxa" w:w="8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Sample_Restrictions</w:t>
            </w:r>
          </w:p>
        </w:tc>
        <w:tc>
          <w:tcPr>
            <w:tcW w:type="dxa" w:w="7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Cross_Institution</w:t>
            </w:r>
          </w:p>
        </w:tc>
        <w:tc>
          <w:tcPr>
            <w:tcW w:type="dxa" w:w="9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Heterogeneity_Tests</w:t>
            </w:r>
          </w:p>
        </w:tc>
        <w:tc>
          <w:tcPr>
            <w:tcW w:type="dxa" w:w="11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Your_Advance</w:t>
            </w:r>
          </w:p>
        </w:tc>
        <w:tc>
          <w:tcPr>
            <w:tcW w:type="dxa" w:w="14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Quote_For_Paper</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DS03</w:t>
            </w:r>
          </w:p>
        </w:tc>
        <w:tc>
          <w:tcPr>
            <w:tcW w:type="dxa" w:w="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Coulibaly, Kilolo &amp; Hacime (2025)</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Entropy balancing + OLS with country and year FE as primary specification; ordered probit as robustness for ordinal nature of credit ratings. Multiple sub-sample robustness panels.</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Entropy balancing reweights comparison countries to match RBL countries on pre-treatment observables; country and year FE absorb time-invariant heterogeneity and common trends. Conditional independence maintained.</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GDP per capita, debt/GDP, institutional quality (WGI), governance stability, resource rents, financial development index, capital openness, total reserves, exchange rate regime.</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Country FE + Year FE in all main specifications (R² &gt; 0.83 indicating strong model fit).</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Robust standard errors clustered at country level.</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β = −2.09 (p&lt;0.01) in baseline — RBL adoption lowers sovereign credit rating by approximately 2 notches. Stable across 8 sub-sample modifications (excluding financial crises, oil price crises, armed conflicts, net oil exporters, outliers etc.) with range −0.816 to −3.076 (all significant).</w:t>
            </w:r>
          </w:p>
        </w:tc>
        <w:tc>
          <w:tcPr>
            <w:tcW w:type="dxa" w:w="11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8 sub-sample exclusions (Panel A); 8 additional control variables (Panel B); alternative credit rating measure (World Bank composite aggregate of Fitch/Moody's/S&amp;P); alternative RBL definitions; ordered probit specification.</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Endogeneity of RBL adoption (countries with deteriorating creditworthiness more likely to sign RBLs — acknowledged and addressed via entropy balancing pre-treatment balance).</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Loan contract quality or project design quality not considered as moderator; limited to African countries only — results may not generalise to Latin America; collateral enforcement mechanisms not modelled.</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Mihalyi et al. (2020) RBL database; Fitch/Moody's/S&amp;P sovereign credit rating data; World Bank composite rating (Kose et al. 2017); WB WDI for controls; African country panel.</w:t>
            </w:r>
          </w:p>
        </w:tc>
        <w:tc>
          <w:tcPr>
            <w:tcW w:type="dxa" w:w="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African countries only; requires credit rating data availability — excludes unrated countries; 639–651 country-year observations.</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Africa-only; does not compare across MDBs or lender types; Chinese vs non-Chinese lending not distinguished.</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By income group; by governance quality; by resource type (oil exporters excluded in Panel A col 5). RBL at least 5-year duration sub-sample tested.</w:t>
            </w:r>
          </w:p>
        </w:tc>
        <w:tc>
          <w:tcPr>
            <w:tcW w:type="dxa" w:w="11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The −2.09 rating point finding is the credit-market consequence of macro-level debt sustainability failure from DS01/DS02. Your project-level QE predictor closes the loop: poor QE → failed project → debt default/distress → credit rating downgrade. This chain has never been tested at project level.</w:t>
            </w:r>
          </w:p>
        </w:tc>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"RBL adoption lowers sovereign credit rating by approximately 2 points (β=−2.09, p&lt;0.01), robust across multiple sub-samples. Since eurobonds and resource-backed loans are in competition for the same natural resources, countries that resort to [RBLs] receive a lower credit rating compared to their peers."</w:t>
            </w:r>
          </w:p>
        </w:tc>
      </w:tr>
    </w:tbl>
    <w:p>
      <w:pPr>
        <w:spacing w:before="60" w:after="60"/>
      </w:pPr>
      <w:r>
        <w:t xml:space="preserve"/>
      </w:r>
    </w:p>
    <w:p>
      <w:pPr>
        <w:spacing w:before="200" w:after="120"/>
      </w:pPr>
      <w:r>
        <w:rPr>
          <w:rFonts w:ascii="Arial" w:cs="Arial" w:eastAsia="Arial" w:hAnsi="Arial"/>
          <w:b/>
          <w:bCs/>
          <w:color w:val="2E75B6"/>
          <w:sz w:val="20"/>
          <w:szCs w:val="20"/>
        </w:rPr>
        <w:t xml:space="preserve">Tab B — DS04: Landry &amp; Tang (2024) — Collateralisation Logic</w:t>
      </w:r>
    </w:p>
    <w:tbl>
      <w:tblPr>
        <w:tblW w:type="dxa" w:w="15900"/>
        <w:tblBorders>
          <w:top w:val="single" w:color="auto" w:sz="4"/>
          <w:left w:val="single" w:color="auto" w:sz="4"/>
          <w:bottom w:val="single" w:color="auto" w:sz="4"/>
          <w:right w:val="single" w:color="auto" w:sz="4"/>
          <w:insideH w:val="single" w:color="auto" w:sz="4"/>
          <w:insideV w:val="single" w:color="auto" w:sz="4"/>
        </w:tblBorders>
      </w:tblPr>
      <w:tblGrid>
        <w:gridCol w:w="500"/>
        <w:gridCol w:w="800"/>
        <w:gridCol w:w="1200"/>
        <w:gridCol w:w="1000"/>
        <w:gridCol w:w="1200"/>
        <w:gridCol w:w="700"/>
        <w:gridCol w:w="700"/>
        <w:gridCol w:w="1000"/>
        <w:gridCol w:w="1100"/>
        <w:gridCol w:w="900"/>
        <w:gridCol w:w="1000"/>
        <w:gridCol w:w="900"/>
        <w:gridCol w:w="800"/>
        <w:gridCol w:w="700"/>
        <w:gridCol w:w="900"/>
        <w:gridCol w:w="1100"/>
        <w:gridCol w:w="1400"/>
      </w:tblGrid>
      <w:tr>
        <w:tc>
          <w:tcPr>
            <w:tcW w:type="dxa" w:w="5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Paper_ID</w:t>
            </w:r>
          </w:p>
        </w:tc>
        <w:tc>
          <w:tcPr>
            <w:tcW w:type="dxa" w:w="8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Authors_Year</w:t>
            </w:r>
          </w:p>
        </w:tc>
        <w:tc>
          <w:tcPr>
            <w:tcW w:type="dxa" w:w="12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Model_Specification</w:t>
            </w:r>
          </w:p>
        </w:tc>
        <w:tc>
          <w:tcPr>
            <w:tcW w:type="dxa" w:w="10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Identification_Strategy</w:t>
            </w:r>
          </w:p>
        </w:tc>
        <w:tc>
          <w:tcPr>
            <w:tcW w:type="dxa" w:w="12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Control_Variables</w:t>
            </w:r>
          </w:p>
        </w:tc>
        <w:tc>
          <w:tcPr>
            <w:tcW w:type="dxa" w:w="7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Fixed_Effects</w:t>
            </w:r>
          </w:p>
        </w:tc>
        <w:tc>
          <w:tcPr>
            <w:tcW w:type="dxa" w:w="7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Standard_Errors</w:t>
            </w:r>
          </w:p>
        </w:tc>
        <w:tc>
          <w:tcPr>
            <w:tcW w:type="dxa" w:w="10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Main_Coefficient</w:t>
            </w:r>
          </w:p>
        </w:tc>
        <w:tc>
          <w:tcPr>
            <w:tcW w:type="dxa" w:w="11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Robustness_Tests</w:t>
            </w:r>
          </w:p>
        </w:tc>
        <w:tc>
          <w:tcPr>
            <w:tcW w:type="dxa" w:w="9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Bias_Acknowledged</w:t>
            </w:r>
          </w:p>
        </w:tc>
        <w:tc>
          <w:tcPr>
            <w:tcW w:type="dxa" w:w="10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Bias_NOT_Addressed</w:t>
            </w:r>
          </w:p>
        </w:tc>
        <w:tc>
          <w:tcPr>
            <w:tcW w:type="dxa" w:w="9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Data_Source_Detail</w:t>
            </w:r>
          </w:p>
        </w:tc>
        <w:tc>
          <w:tcPr>
            <w:tcW w:type="dxa" w:w="8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Sample_Restrictions</w:t>
            </w:r>
          </w:p>
        </w:tc>
        <w:tc>
          <w:tcPr>
            <w:tcW w:type="dxa" w:w="7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Cross_Institution</w:t>
            </w:r>
          </w:p>
        </w:tc>
        <w:tc>
          <w:tcPr>
            <w:tcW w:type="dxa" w:w="9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Heterogeneity_Tests</w:t>
            </w:r>
          </w:p>
        </w:tc>
        <w:tc>
          <w:tcPr>
            <w:tcW w:type="dxa" w:w="11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Your_Advance</w:t>
            </w:r>
          </w:p>
        </w:tc>
        <w:tc>
          <w:tcPr>
            <w:tcW w:type="dxa" w:w="1400"/>
            <w:tcBorders>
              <w:top w:val="single" w:color="AAAAAA" w:sz="1"/>
              <w:left w:val="single" w:color="AAAAAA" w:sz="1"/>
              <w:bottom w:val="single" w:color="AAAAAA" w:sz="1"/>
              <w:right w:val="single" w:color="AAAAAA"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Quote_For_Paper</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DS04</w:t>
            </w:r>
          </w:p>
        </w:tc>
        <w:tc>
          <w:tcPr>
            <w:tcW w:type="dxa" w:w="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Landry &amp; Tang (2024)</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OLS and Logit for binary outcome (is loan resource-backed? 0/1); OLS for interest rate outcome; probit for insurance demand. Cross-sectional regression of loan-level data with country-level controls.</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Cross-sectional regression controlling for country-level risk and loan characteristics; triangulated with qualitative field interviews (DRC 2016, Ghana 2022, Ecuador 2023) to identify causal mechanisms (corruption, political business cycles, collateral security).</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Gross government debt (% GDP), GDP per capita, resource rents (% GDP), Control of Corruption Index (WB), Political Stability Index, 6-month LIBOR, loan amount (log), loan type, trade volume.</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No country FE in main specification (cross-sectional); loan-type controls included.</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Robust standard errors (heteroskedasticity-consistent).</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Country Risk Index → RBL probability: β=0.042 (p&lt;0.01, OLS); Logit coeff=1.512 (p&lt;0.01). Resource rents → RBL: β=0.0074 (p&lt;0.01). Interest rate: RBL mean 4.45% vs non-RBL 2.63% — approximately 180 bps premium. Only 12% of loans by number are RBL but 43% of loan value.</w:t>
            </w:r>
          </w:p>
        </w:tc>
        <w:tc>
          <w:tcPr>
            <w:tcW w:type="dxa" w:w="11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Two data sources (AidData 2.0 vs GDP Center Chinese Loans Database) — results consistent across both; multiple model specifications (OLS, Logit); qualitative case studies in 3 countries.</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Selection endogeneity (riskier countries demand more collateral and higher interest rates — acknowledged as primary mechanism, not treated as nuisance); OVB from unobserved political economy factors in DRC/Ecuador/Ghana.</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Project design quality (QE) not considered — whether the infrastructure project financed is well-designed moderates the actual risk China faces but is not modelled; collateral enforcement mechanism post-default not empirically tested; limited to Chinese lending.</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AidData 2.0 (primary, 2000–2017); GDP Center Chinese Loans to Africa Database (2023); OECD Country Risk Classification; WB WDI; COMTRADE (trade); CEPII (UN General Assembly voting, geopolitical alignment); n=651 loans.</w:t>
            </w:r>
          </w:p>
        </w:tc>
        <w:tc>
          <w:tcPr>
            <w:tcW w:type="dxa" w:w="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Chinese loans only; 2000–2021; excludes Western and MDB lending; requires OECD risk classification availability.</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Chinese lending only — no World Bank, ADB, or IADB comparison; lender-specific finding may not generalise.</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By resource type (oil vs minerals); by political risk type (corruption vs political business cycles vs collateral security); by region (Africa vs Latin America in qualitative only).</w:t>
            </w:r>
          </w:p>
        </w:tc>
        <w:tc>
          <w:tcPr>
            <w:tcW w:type="dxa" w:w="11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Your QE variable is the missing within-loan moderator. Landry &amp; Tang show that COUNTRY risk drives collateral demand; your OR=27.8 adds the PROJECT-LEVEL design quality dimension — a well-designed project reduces lender risk regardless of country risk, potentially allowing resource-backed finance on better terms. This is a novel advance.</w:t>
            </w:r>
          </w:p>
        </w:tc>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6"/>
                <w:szCs w:val="16"/>
              </w:rPr>
              <w:t xml:space="preserve">"In risky countries, China routinely demands collateral in the form of future natural resources revenues for its loans... loans to countries with higher credit risk levels are more likely to be resource-backed... resource-backed loans carry higher interest rates than their non-resource-backed counterparts."</w:t>
            </w:r>
          </w:p>
        </w:tc>
      </w:tr>
    </w:tbl>
    <w:p>
      <w:pPr>
        <w:spacing w:before="60" w:after="60"/>
      </w:pPr>
      <w:r>
        <w:t xml:space="preserve"/>
      </w:r>
    </w:p>
    <w:p>
      <w:pPr>
        <w:pStyle w:val="Heading1"/>
        <w:spacing w:before="360" w:after="200"/>
      </w:pPr>
      <w:r>
        <w:rPr>
          <w:rFonts w:ascii="Arial" w:cs="Arial" w:eastAsia="Arial" w:hAnsi="Arial"/>
          <w:b/>
          <w:bCs/>
          <w:color w:val="1F4E79"/>
          <w:sz w:val="28"/>
          <w:szCs w:val="28"/>
        </w:rPr>
        <w:t xml:space="preserve">STEP 4 — STREAM SUMMARY</w:t>
      </w:r>
    </w:p>
    <w:p>
      <w:pPr>
        <w:pStyle w:val="Heading2"/>
        <w:spacing w:before="280" w:after="160"/>
      </w:pPr>
      <w:r>
        <w:rPr>
          <w:rFonts w:ascii="Arial" w:cs="Arial" w:eastAsia="Arial" w:hAnsi="Arial"/>
          <w:b/>
          <w:bCs/>
          <w:color w:val="2E75B6"/>
          <w:sz w:val="24"/>
          <w:szCs w:val="24"/>
        </w:rPr>
        <w:t xml:space="preserve">Counts</w:t>
      </w:r>
    </w:p>
    <w:p>
      <w:pPr>
        <w:spacing w:before="60" w:after="80"/>
      </w:pPr>
      <w:r>
        <w:rPr>
          <w:rFonts w:ascii="Arial" w:cs="Arial" w:eastAsia="Arial" w:hAnsi="Arial"/>
          <w:b/>
          <w:bCs/>
          <w:sz w:val="18"/>
          <w:szCs w:val="18"/>
        </w:rPr>
        <w:t xml:space="preserve">Included: 9 papers  |  Excluded: 5 papers (4 qualitative/descriptive, 1 duplicate)</w:t>
      </w:r>
    </w:p>
    <w:p>
      <w:pPr>
        <w:spacing w:before="60" w:after="80"/>
      </w:pPr>
      <w:r>
        <w:rPr>
          <w:rFonts w:ascii="Arial" w:cs="Arial" w:eastAsia="Arial" w:hAnsi="Arial"/>
          <w:sz w:val="18"/>
          <w:szCs w:val="18"/>
        </w:rPr>
        <w:t xml:space="preserve">Deep Read (Tab B): DS01, DS02, DS03, DS04 (4 papers)</w:t>
      </w:r>
    </w:p>
    <w:p>
      <w:pPr>
        <w:spacing w:before="60" w:after="60"/>
      </w:pPr>
      <w:r>
        <w:t xml:space="preserve"/>
      </w:r>
    </w:p>
    <w:p>
      <w:pPr>
        <w:pStyle w:val="Heading2"/>
        <w:spacing w:before="280" w:after="160"/>
      </w:pPr>
      <w:r>
        <w:rPr>
          <w:rFonts w:ascii="Arial" w:cs="Arial" w:eastAsia="Arial" w:hAnsi="Arial"/>
          <w:b/>
          <w:bCs/>
          <w:color w:val="2E75B6"/>
          <w:sz w:val="24"/>
          <w:szCs w:val="24"/>
        </w:rPr>
        <w:t xml:space="preserve">Stream Gap Confirmed</w:t>
      </w:r>
    </w:p>
    <w:p>
      <w:pPr>
        <w:pBdr>
          <w:left w:val="thick" w:color="C00000" w:sz="8" w:space="12"/>
        </w:pBdr>
        <w:spacing w:before="120" w:after="160"/>
      </w:pPr>
      <w:r>
        <w:rPr>
          <w:rFonts w:ascii="Arial" w:cs="Arial" w:eastAsia="Arial" w:hAnsi="Arial"/>
          <w:b/>
          <w:bCs/>
          <w:color w:val="C00000"/>
          <w:sz w:val="20"/>
          <w:szCs w:val="20"/>
        </w:rPr>
        <w:t xml:space="preserve">STREAM GAP: </w:t>
      </w:r>
      <w:r>
        <w:rPr>
          <w:rFonts w:ascii="Arial" w:cs="Arial" w:eastAsia="Arial" w:hAnsi="Arial"/>
          <w:sz w:val="20"/>
          <w:szCs w:val="20"/>
        </w:rPr>
        <w:t xml:space="preserve">The Debt Sustainability / Collateralisation literature has established that resource-backed loans increase public debt (Coulibaly et al. 2022), raise sovereign default probability by ~70% (3.7% vs 2.2%; Coulibaly 2024), and lower credit ratings by ~2 notches (Coulibaly et al. 2025), yet no study has examined whether project-level design quality (QE) moderates these debt sustainability outcomes — the upstream mechanism by which poorly designed infrastructure projects fail to generate the resource revenue streams needed to service collateralised debt remains empirically uncharted.</w:t>
      </w:r>
    </w:p>
    <w:p>
      <w:pPr>
        <w:spacing w:before="60" w:after="60"/>
      </w:pPr>
      <w:r>
        <w:t xml:space="preserve"/>
      </w:r>
    </w:p>
    <w:p>
      <w:pPr>
        <w:pStyle w:val="Heading2"/>
        <w:spacing w:before="280" w:after="160"/>
      </w:pPr>
      <w:r>
        <w:rPr>
          <w:rFonts w:ascii="Arial" w:cs="Arial" w:eastAsia="Arial" w:hAnsi="Arial"/>
          <w:b/>
          <w:bCs/>
          <w:color w:val="2E75B6"/>
          <w:sz w:val="24"/>
          <w:szCs w:val="24"/>
        </w:rPr>
        <w:t xml:space="preserve">Top 3 Forward Citations to Chase</w:t>
      </w:r>
    </w:p>
    <w:p>
      <w:pPr>
        <w:spacing w:before="80" w:after="80"/>
      </w:pPr>
      <w:r>
        <w:rPr>
          <w:rFonts w:ascii="Arial" w:cs="Arial" w:eastAsia="Arial" w:hAnsi="Arial"/>
          <w:sz w:val="18"/>
          <w:szCs w:val="18"/>
        </w:rPr>
        <w:t xml:space="preserve">1.  Mihalyi, D., Adam, A., &amp; Hwang, J. (2020). Resource-backed loans: Pitfalls and potential. Natural Resource Governance Institute (NRGI). — Primary database source for all DS01–DS03 papers; forward citations will identify who has used this dataset since 2020 to study debt outcomes.</w:t>
      </w:r>
    </w:p>
    <w:p>
      <w:pPr>
        <w:spacing w:before="80" w:after="80"/>
      </w:pPr>
      <w:r>
        <w:rPr>
          <w:rFonts w:ascii="Arial" w:cs="Arial" w:eastAsia="Arial" w:hAnsi="Arial"/>
          <w:sz w:val="18"/>
          <w:szCs w:val="18"/>
        </w:rPr>
        <w:t xml:space="preserve">2.  Balima, H. W., &amp; Sy, A. N. R. (2021). IMF-supported programs and sovereign debt default — cited by Coulibaly (2024) for entropy balancing methodology; forward citations will identify studies applying entropy balancing to sovereign debt in development finance settings.</w:t>
      </w:r>
    </w:p>
    <w:p>
      <w:pPr>
        <w:spacing w:before="80" w:after="80"/>
      </w:pPr>
      <w:r>
        <w:rPr>
          <w:rFonts w:ascii="Arial" w:cs="Arial" w:eastAsia="Arial" w:hAnsi="Arial"/>
          <w:sz w:val="18"/>
          <w:szCs w:val="18"/>
        </w:rPr>
        <w:t xml:space="preserve">3.  Horn, S., Reinhart, C. M., &amp; Trebesch, C. (2021). China's overseas lending. Journal of International Economics 133:103539. — Cited in DS01 and DS02; forward citations from this paper will locate the most recent quantitative work on Chinese lending terms, collateral arrangements, and debt sustainability across the Global South.</w:t>
      </w:r>
    </w:p>
    <w:p>
      <w:pPr>
        <w:spacing w:before="60" w:after="60"/>
      </w:pPr>
      <w:r>
        <w:t xml:space="preserve"/>
      </w:r>
    </w:p>
    <w:p>
      <w:pPr>
        <w:pStyle w:val="Heading2"/>
        <w:spacing w:before="280" w:after="160"/>
      </w:pPr>
      <w:r>
        <w:rPr>
          <w:rFonts w:ascii="Arial" w:cs="Arial" w:eastAsia="Arial" w:hAnsi="Arial"/>
          <w:b/>
          <w:bCs/>
          <w:color w:val="2E75B6"/>
          <w:sz w:val="24"/>
          <w:szCs w:val="24"/>
        </w:rPr>
        <w:t xml:space="preserve">Copy-Paste Ready Output for Synthesis Project</w:t>
      </w:r>
    </w:p>
    <w:p>
      <w:pPr>
        <w:spacing w:before="120" w:after="80"/>
      </w:pPr>
      <w:r>
        <w:rPr>
          <w:rFonts w:ascii="Arial" w:cs="Arial" w:eastAsia="Arial" w:hAnsi="Arial"/>
          <w:b/>
          <w:bCs/>
          <w:color w:val="1F4E79"/>
          <w:sz w:val="18"/>
          <w:szCs w:val="18"/>
        </w:rPr>
        <w:t xml:space="preserve">SYNTHESIS INSERT — Debt Sustainability / Collateralisation Stream</w:t>
      </w:r>
    </w:p>
    <w:p>
      <w:pPr>
        <w:spacing w:before="80" w:after="200"/>
      </w:pPr>
      <w:r>
        <w:rPr>
          <w:rFonts w:ascii="Arial" w:cs="Arial" w:eastAsia="Arial" w:hAnsi="Arial"/>
          <w:sz w:val="18"/>
          <w:szCs w:val="18"/>
        </w:rPr>
        <w:t xml:space="preserve">A growing quantitative literature establishes that resource-backed loans (RBLs) — financing instruments in which natural resource revenues serve as collateral — generate systematic debt sustainability risks in developing countries. Using entropy balancing methods that adjust for observable pre-treatment differences, Coulibaly, Minea and Villieu (2022) show that RBL adoption is causally associated with higher public debt levels (measured five years post-signing). Building on this, Coulibaly (2024) demonstrates that the conditional probability of sovereign debt default in RBL countries (3.7%) is 70% higher than the unconditional rate (2.2%), with institutional quality significantly moderating this effect. The downstream credit-market consequences are confirmed by Coulibaly, Kilolo and Hacime (2025), who find that RBL adoption reduces sovereign credit ratings by approximately 2 notches (β=−2.09, p&lt;0.01) in a sample of African countries, robust across 8 sub-sample modifications. From the lender's perspective, Landry and Tang (2024) demonstrate that Chinese lenders strategically demand resource-backed collateral in proportion to borrower credit risk (β=0.042, p&lt;0.01 for country risk index) and, counter-intuitively, charge higher interest rates on RBLs (mean 4.45% vs 2.63%) — suggesting that collateral demand reflects risk-mitigation rather than concessional finance. Collectively, these studies map the macro-level debt sustainability pathway: RBL adoption → heightened debt burden → elevated default risk → sovereign rating downgrade. Critically, however, no study in this literature examines project-level design quality as a moderator of this pathway. If infrastructure projects financed through RBLs are poorly designed, they will fail to generate the operational revenue streams that underpin both debt repayment and development outcomes, independently of country-level institutional factors. This is the gap addressed by the present study, which introduces project quality evaluation (QE) scores from 12,328 World Bank projects (OR=27.8) as the upstream predictor linking project design to debt sustainability at scale.</w:t>
      </w:r>
    </w:p>
    <w:p>
      <w:pPr>
        <w:spacing w:before="60" w:after="60"/>
      </w:pPr>
      <w:r>
        <w:t xml:space="preserve"/>
      </w:r>
    </w:p>
    <w:p>
      <w:pPr>
        <w:spacing w:before="240" w:after="120"/>
        <w:jc w:val="center"/>
      </w:pPr>
      <w:r>
        <w:rPr>
          <w:rFonts w:ascii="Arial" w:cs="Arial" w:eastAsia="Arial" w:hAnsi="Arial"/>
          <w:b/>
          <w:bCs/>
          <w:color w:val="595959"/>
          <w:sz w:val="16"/>
          <w:szCs w:val="16"/>
        </w:rPr>
        <w:t xml:space="preserve">End of Debt Sustainability / Collateralisation Stream Output</w:t>
      </w:r>
    </w:p>
    <w:sectPr>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2026-02-23T03:27:56.457Z</dcterms:created>
  <dcterms:modified xsi:type="dcterms:W3CDTF">2026-02-23T03:27:56.457Z</dcterms:modified>
</cp:coreProperties>
</file>

<file path=docProps/custom.xml><?xml version="1.0" encoding="utf-8"?>
<Properties xmlns="http://schemas.openxmlformats.org/officeDocument/2006/custom-properties" xmlns:vt="http://schemas.openxmlformats.org/officeDocument/2006/docPropsVTypes"/>
</file>