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0"/>
          <w:szCs w:val="40"/>
        </w:rPr>
        <w:t xml:space="preserve">FRAGILE STATES / FCS LITERATURE STREAM</w:t>
      </w:r>
    </w:p>
    <w:p>
      <w:pPr>
        <w:spacing w:after="80"/>
        <w:jc w:val="center"/>
      </w:pPr>
      <w:r>
        <w:rPr>
          <w:rFonts w:ascii="Arial" w:cs="Arial" w:eastAsia="Arial" w:hAnsi="Arial"/>
          <w:color w:val="595959"/>
          <w:sz w:val="24"/>
          <w:szCs w:val="24"/>
        </w:rPr>
        <w:t xml:space="preserve">Systematic Literature Coding — Synthesis Project Output</w:t>
      </w:r>
    </w:p>
    <w:p>
      <w:pPr>
        <w:spacing w:after="300"/>
        <w:jc w:val="center"/>
      </w:pPr>
      <w:r>
        <w:rPr>
          <w:rFonts w:ascii="Arial" w:cs="Arial" w:eastAsia="Arial" w:hAnsi="Arial"/>
          <w:i/>
          <w:iCs/>
          <w:color w:val="595959"/>
          <w:sz w:val="20"/>
          <w:szCs w:val="20"/>
        </w:rPr>
        <w:t xml:space="preserve">Researcher: Steve Brandon | QUT/Griffith PhD | Generated: February 2026</w:t>
      </w:r>
    </w:p>
    <w:p>
      <w:pPr>
        <w:pStyle w:val="Heading1"/>
        <w:spacing w:before="300" w:after="150"/>
      </w:pPr>
      <w:r>
        <w:rPr>
          <w:rFonts w:ascii="Arial" w:cs="Arial" w:eastAsia="Arial" w:hAnsi="Arial"/>
          <w:b/>
          <w:bCs/>
          <w:color w:val="1F4E79"/>
          <w:sz w:val="28"/>
          <w:szCs w:val="28"/>
        </w:rPr>
        <w:t xml:space="preserve">STEP 1 — INCLUSION SCREEN SUMMARY</w:t>
      </w:r>
    </w:p>
    <w:p>
      <w:pPr>
        <w:spacing w:after="120"/>
      </w:pPr>
      <w:r>
        <w:rPr>
          <w:rFonts w:ascii="Arial" w:cs="Arial" w:eastAsia="Arial" w:hAnsi="Arial"/>
          <w:sz w:val="20"/>
          <w:szCs w:val="20"/>
        </w:rPr>
        <w:t xml:space="preserve">13 files screened across the Fragile States / FCS stream.</w:t>
      </w:r>
    </w:p>
    <w:p>
      <w:pPr>
        <w:spacing w:after="120"/>
      </w:pPr>
      <w:r>
        <w:rPr>
          <w:rFonts w:ascii="Arial" w:cs="Arial" w:eastAsia="Arial" w:hAnsi="Arial"/>
          <w:sz w:val="20"/>
          <w:szCs w:val="20"/>
        </w:rPr>
        <w:t xml:space="preserve">n INCLUDED: 3 unique papers (4 files — ssrn2522732 is duplicate of WPS7098)</w:t>
      </w:r>
    </w:p>
    <w:p>
      <w:pPr>
        <w:spacing w:after="120"/>
      </w:pPr>
      <w:r>
        <w:rPr>
          <w:rFonts w:ascii="Arial" w:cs="Arial" w:eastAsia="Arial" w:hAnsi="Arial"/>
          <w:sz w:val="20"/>
          <w:szCs w:val="20"/>
        </w:rPr>
        <w:t xml:space="preserve">n EXCLUDED: 10 unique papers (9 + 1 duplicate file)</w:t>
      </w:r>
    </w:p>
    <w:p>
      <w:pPr>
        <w:spacing w:after="200"/>
      </w:pPr>
    </w:p>
    <w:p>
      <w:pPr>
        <w:pStyle w:val="Heading2"/>
        <w:spacing w:before="200" w:after="100"/>
      </w:pPr>
      <w:r>
        <w:rPr>
          <w:rFonts w:ascii="Arial" w:cs="Arial" w:eastAsia="Arial" w:hAnsi="Arial"/>
          <w:b/>
          <w:bCs/>
          <w:color w:val="2E75B6"/>
          <w:sz w:val="24"/>
          <w:szCs w:val="24"/>
        </w:rPr>
        <w:t xml:space="preserve">Excluded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File / Reference</w:t>
            </w:r>
          </w:p>
        </w:tc>
        <w:tc>
          <w:tcPr>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Reason for Exclusion</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Fischer &amp; Levy (2012)</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Single-country qualitative case study (Haiti). No project-level quantitative regression. n=1 country.</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Akinbi &amp; Oluwole (2025)</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Conceptual/normative framework paper. No regression. No project-level data. Purely descriptive.</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Lodinya (2026)</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Qualitative systematic literature review. NGO case studies in South Sudan. No regression analysis.</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Specker &amp; Briscoe (2010)</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Single-country case study (Burundi). Qualitative operational analysis. No regression.</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Takahashi (2018)</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Qualitative PhD thesis. Single-country case study (Solomon Islands law &amp; justice). No regression.</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Faust, Kocks &amp; Wencker eds. (2023)</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Edited policy report/collection (DEval). No primary regression at project level. Synthesis document.</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Manor ed. (2007)</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World Bank edited volume of case studies. Qualitative country narratives. No primary project-level regression.</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Ghossein &amp; Rana (2022)</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World Bank descriptive review note on business environment reforms in FCS. No regression. Qualitative/descriptive.</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Stites &amp; Bushby (2017)</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SLRC descriptive working paper. No project-level quantitative regression. Qualitative livelihood analysis.</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sz w:val="18"/>
                <w:szCs w:val="18"/>
              </w:rPr>
              <w:t xml:space="preserve">Ralston (2014) — SSRN version</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DUPLICATE of WPS7098.pdf (Ralston 2014). Same paper coded as FCS-01.</w:t>
            </w:r>
          </w:p>
        </w:tc>
      </w:tr>
    </w:tbl>
    <w:p>
      <w:pPr>
        <w:spacing w:after="300"/>
      </w:pPr>
    </w:p>
    <w:p>
      <w:pPr>
        <w:pStyle w:val="Heading1"/>
        <w:spacing w:before="300" w:after="150"/>
      </w:pPr>
      <w:r>
        <w:rPr>
          <w:rFonts w:ascii="Arial" w:cs="Arial" w:eastAsia="Arial" w:hAnsi="Arial"/>
          <w:b/>
          <w:bCs/>
          <w:color w:val="1F4E79"/>
          <w:sz w:val="28"/>
          <w:szCs w:val="28"/>
        </w:rPr>
        <w:t xml:space="preserve">STEP 2 — TAB A: ALL INCLUDED PAPERS (17 Fields)</w:t>
      </w:r>
    </w:p>
    <w:p>
      <w:pPr>
        <w:spacing w:before="200" w:after="80"/>
      </w:pPr>
      <w:r>
        <w:rPr>
          <w:rFonts w:ascii="Arial" w:cs="Arial" w:eastAsia="Arial" w:hAnsi="Arial"/>
          <w:b/>
          <w:bCs/>
          <w:color w:val="1F4E79"/>
          <w:sz w:val="22"/>
          <w:szCs w:val="22"/>
        </w:rPr>
        <w:t xml:space="preserve">▶  FCS-01 — Ralston, L. (2014)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Paper_ID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FCS-01</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Authors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Ralston, L.</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Year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2014</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Success in Difficult Environments: A Portfolio Analysis of Fragile and Conflict-affected States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Journal / Source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World Bank Policy Research Working Paper 7098</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Stream</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Fragile States / FCS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Research_Question</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What project- and country-level characteristics are correlated with satisfactory IDA project outcome ratings in FCS vs. non-FCS countries?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Outcome_Variable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IEG project outcome rating (binary satisfactory ≥ 4; continuous 1–6 scale)</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Main_Predictor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FCS country status (always-FCS, partial-FCS); project complexity proxies (supervision cost, prep time, staff time)</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Model_Type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OLS; probit; multinomial logit; panel fixed-effects (project-level within regressions)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Dataset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World Bank IEG project ratings + Bank operational data, FY2001–FY2013</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n_Projects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1,292 closed IDA projects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Key_Finding</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significant difference in binary pass/fail rating between FCS and non-FCS projects. On the 1–6 scale, FCS projects score ~0.2 pts lower (always-FCS: –0.24***). Project size (+), supervision cost (–), prep time (–), staff time (–) predict ratings. TTL quality predicts success in non-FCS but not FCS. Panel FE: increasing CPIA and TTL quality improve ratings.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Gap_They_Left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Does not isolate design quality (QE) as a distinct predictor; conflates design with supervision complexity; TTL quality measure is endogenous; no instrument for project ambition/difficulty.</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Relevant_to_RQ</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HIGH – directly estimates project-level outcome predictors in FCS portfolio with same IEG rating scale used in Brandon's study (OR=27.8 uses similar outcome).</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Deep_Read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Notes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ssrn2522732.pdf is identical content (SSRN pre-print version). Coded once as FCS-01.</w:t>
            </w:r>
          </w:p>
        </w:tc>
      </w:tr>
    </w:tbl>
    <w:p>
      <w:pPr>
        <w:spacing w:after="200"/>
      </w:pPr>
    </w:p>
    <w:p>
      <w:pPr>
        <w:spacing w:before="200" w:after="80"/>
      </w:pPr>
      <w:r>
        <w:rPr>
          <w:rFonts w:ascii="Arial" w:cs="Arial" w:eastAsia="Arial" w:hAnsi="Arial"/>
          <w:b/>
          <w:bCs/>
          <w:color w:val="1F4E79"/>
          <w:sz w:val="22"/>
          <w:szCs w:val="22"/>
        </w:rPr>
        <w:t xml:space="preserve">▶  FCS-02 — Jamison, A. S., Pacheco, R., Henisz, W. J., &amp; Ganson, B. (c.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Paper_ID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FCS-02</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Authors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Jamison, A. S., Pacheco, R., Henisz, W. J., &amp; Ganson, B.</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Year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 2024</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When Does Development Finance Fuel Conflict? Insularity in World Bank Group Project Portfolios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Journal / Source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Working paper (submitted manuscript, submission_157)</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Stream</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Fragile States / FCS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Research_Question</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Does stakeholder insularity (favoring powerful groups) in World Bank Group project networks increase local conflict? Are IFC private-sector projects more conflict-prone than IBRD/IDA projects?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Outcome_Variable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Conflict-related fatalities (UCDP-GED, square-root transformed), aggregated to PRIO-GRID cell-year</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Main_Predictor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IBRD/IDA project presence; IFC project presence; relative insularity (Herfindahl index of degree centrality, business vs. overall media network)</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Model_Type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Propensity score panel matching (TSCS); two-stage: PSM then OLS/fixed-effects regression on matched sample</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Dataset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World Bank Project Database (IBRD/IDA); IFC project data (Jamison et al. 2024); UCDP-GED conflict events; GDELT media corpus; PRIO-GRID framework, 1994–2020</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n_Projects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~1.75 million cell-year observations (IFC project indicator n=1,750,086); ~64,818 land cells × multiple years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Key_Finding</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IFC private-sector projects are more conflict-prone than IBRD/IDA government-directed projects. Stakeholder insularity (centralized, exclusive networks) significantly predicts higher conflict fatalities. Effect of insularity is amplified in already-conflict-prone settings (H3 supported). Implies project design choices about stakeholder inclusion causally matter for stability outcomes.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Gap_They_Left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Outcome is conflict, not development effectiveness; does not measure project design quality (QE) directly; insularity measured via media networks (GDELT), not project appraisal documents; no assessment of whether pre-project QE ratings moderate effect.</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Relevant_to_RQ</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HIGH – establishes that project design choices (stakeholder engagement, inclusivity) in FCS contexts causally affect outcomes, supporting Brandon's QE → outcome pathway; also World Bank project data matches Brandon's dataset.</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Deep_Read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Notes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Conference/working paper; peer-review status unclear. Methodologically sophisticated. Spans FCS and non-FCS contexts.</w:t>
            </w:r>
          </w:p>
        </w:tc>
      </w:tr>
    </w:tbl>
    <w:p>
      <w:pPr>
        <w:spacing w:after="200"/>
      </w:pPr>
    </w:p>
    <w:p>
      <w:pPr>
        <w:spacing w:before="200" w:after="80"/>
      </w:pPr>
      <w:r>
        <w:rPr>
          <w:rFonts w:ascii="Arial" w:cs="Arial" w:eastAsia="Arial" w:hAnsi="Arial"/>
          <w:b/>
          <w:bCs/>
          <w:color w:val="1F4E79"/>
          <w:sz w:val="22"/>
          <w:szCs w:val="22"/>
        </w:rPr>
        <w:t xml:space="preserve">▶  FCS-03 — IFAD Independent Office of Evaluation (IOE)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Paper_ID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FCS-03</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Authors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IFAD Independent Office of Evaluation (IOE)</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Year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2015</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Corporate-level Evaluation on IFAD's Engagement in Fragile and Conflict-affected States and Situations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Journal / Source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IFAD Executive Board Document EB 2015/114/R.4</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Stream</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Fragile States / FCS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Research_Question</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How does IFAD project performance compare in fragile vs. non-fragile states, and what design/contextual factors explain performance differences?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Outcome_Variable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IFAD project evaluation ratings (project effectiveness, efficiency, rural poverty impact, sustainability, overall achievement) — 1–6 scale comparable to IEG</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Main_Predictor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Country fragility classification (fragile/always-fragile/partially-fragile); project design quality indicators; contextual factors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Model_Type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Descriptive comparative statistics; cross-tabulation of ratings; no formal regression</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Dataset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IFAD IOE project evaluation database + IFAD self-evaluation ratings, 2002–2013; 10 country case studies</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n_Projects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Approximately 105 projects in fragile states; 254 total ongoing projects as at 2012</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Key_Finding</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Projects in fragile states underperform across all criteria vs. non-fragile contexts. Fragile states have disproportionately more poor-performing and fewer high-performing projects. Projects closing 2010+ show improvement vs. 2004–2009 cohort. 'Always fragile' states show worst performance. Design quality specifically flagged as a gap: policy framework 'lacks clear yardsticks for evaluating contextual analysis and project design.'</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Gap_They_Left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regression; cannot separate design quality effects from contextual effects; lacks yardsticks for design quality; no causal identification.</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Relevant_to_RQ</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MEDIUM – corroborates FCS performance gap and highlights design quality as understudied; credible evaluation institution but not peer-reviewed regression study.</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Deep_Read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999999" w:sz="1"/>
              <w:left w:val="single" w:color="999999" w:sz="1"/>
              <w:bottom w:val="single" w:color="999999" w:sz="1"/>
              <w:right w:val="single" w:color="999999" w:sz="1"/>
            </w:tcBorders>
            <w:shd w:fill="DEEAF1" w:val="clear"/>
            <w:tcMar>
              <w:top w:type="dxa" w:w="60"/>
              <w:left w:type="dxa" w:w="100"/>
              <w:bottom w:type="dxa" w:w="60"/>
              <w:right w:type="dxa" w:w="100"/>
            </w:tcMar>
          </w:tcPr>
          <w:p>
            <w:r>
              <w:rPr>
                <w:rFonts w:ascii="Arial" w:cs="Arial" w:eastAsia="Arial" w:hAnsi="Arial"/>
                <w:b/>
                <w:bCs/>
                <w:sz w:val="18"/>
                <w:szCs w:val="18"/>
              </w:rPr>
              <w:t xml:space="preserve">Notes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Borderline inclusion — no formal regression but has quantitative comparative outcome data across ~105+ FCS projects. Included as corroborating institutional evidence.</w:t>
            </w:r>
          </w:p>
        </w:tc>
      </w:tr>
    </w:tbl>
    <w:p>
      <w:pPr>
        <w:spacing w:after="200"/>
      </w:pPr>
    </w:p>
    <w:p>
      <w:pPr>
        <w:pStyle w:val="Heading1"/>
        <w:spacing w:before="300" w:after="150"/>
      </w:pPr>
      <w:r>
        <w:rPr>
          <w:rFonts w:ascii="Arial" w:cs="Arial" w:eastAsia="Arial" w:hAnsi="Arial"/>
          <w:b/>
          <w:bCs/>
          <w:color w:val="1F4E79"/>
          <w:sz w:val="28"/>
          <w:szCs w:val="28"/>
        </w:rPr>
        <w:t xml:space="preserve">STEP 3 — TAB B: DEEP READ PAPERS (16 Fields)</w:t>
      </w:r>
    </w:p>
    <w:p>
      <w:pPr>
        <w:spacing w:before="200" w:after="80"/>
      </w:pPr>
      <w:r>
        <w:rPr>
          <w:rFonts w:ascii="Arial" w:cs="Arial" w:eastAsia="Arial" w:hAnsi="Arial"/>
          <w:b/>
          <w:bCs/>
          <w:color w:val="1F4E79"/>
          <w:sz w:val="22"/>
          <w:szCs w:val="22"/>
        </w:rPr>
        <w:t xml:space="preserve">▶  FCS-01 — Ralston (2014)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Paper_ID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FCS-01</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Authors_Year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Ralston (2014)</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Model_Specification</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Primary: OLS with binary outcome (satisfactory=1 if IEG rating ≥4) and with 6-point continuous IEG rating. Also probit; multinomial logit for distribution. Panel within-project FE regressions (Tables 10–12) using two data points per project (mid-point progress, final outcome).</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Identification_Strategy</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Cross-sectional OLS with country and sector controls. No causal identification (no IV, no RDD, no randomisation). Author explicitly warns 'correlation not causation.' Within-project FE is quasi-causal but limited by two time points per project.</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Control_Variables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FCS indicator; Always-FCS / Partial-FCS dummies; CPIA score; GDP per capita growth; country office size; sector board / network board FEs; DPO indicator; single-sector focus indicator; net commitments (project size); preparation cost; prep time; supervision cost; staff weeks; mission days; consultant days; TTL years of experience; TTL quality (propensity score of prior satisfactory outcomes); early-warning problem flags.</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Fixed_Effects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Year FE (Table 2 &amp; 3); Country FE (Table 7 col.1, 6–7); TTL FE (Table 7 col.3–5). Sector board / network board controls.</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Standard_Errors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Not stated explicitly; standard errors in brackets. Heteroscedasticity-robust SEs not confirmed.</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Main_Coefficient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FCS indicator on 6-pt rating: β = –0.20** (col.1), –0.22*** (col.2); Always-FCS: –0.24***. Binary satisfactory outcome: FCS coef. not significant. Project size: +; supervision cost: –; prep time: –.</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Robustness_Tests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Probit and multinomial logit confirm OLS findings. Separate FCS/non-FCS regressions. DPO omission check. Within-project FE panel regressions. TTL quality instrument (leave-one-out average outcome rating).</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Bias_Acknowledged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Explicitly states omitted variable bias from unobservable project complexity/ambition. Selection bias: harder projects assigned more inputs. Correlation ≠ causation caveat repeated.</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Bias_NOT_Addressed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 IV for project complexity. TTL quality variable is endogenous (better TTLs assigned better projects). No design quality (QE) measure. Project selection into FCS not instrumented. Supervision cost ↔ outcome reverse causality not resolved.</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Data_Source_Detail</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IEG administrative outcome ratings database; World Bank Operations Portal (staff, costs, missions). FY2001–FY2013. Closed IDA projects only. IEG ratings coded 1 (highly unsatisfactory) – 6 (highly satisfactory).</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Sample_Restrictions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IDA-financed closed projects FY2001–FY2013 with IEG outcome ratings. Excludes IBRD projects, grants without IEG rating. n=1,292 for most regressions.</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Cross_Institution</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World Bank IDA only. Some comparisons to non-FCS IDA countries. No cross-institutional data.</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Heterogeneity_Tests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Always-FCS vs. Partial-FCS breakdown. FCS vs. non-FCS subsamples (Table 6, 7). Conditional on unsatisfactory mid-project (Table 12). No sector-level heterogeneity formally tested.</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Your_Advance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Brandon's study advances beyond Ralston by: (1) explicitly measuring project design quality (QE/Quality at Entry) as the primary predictor rather than as a residual; (2) using the full IEG cross-institutional database (n=12,328 vs. 1,292); (3) demonstrating OR=27.8 for QE, far exceeding Ralston's modest FCS penalty of 0.2 pts; (4) employing logistic regression with odds ratios rather than OLS; (5) providing a causal design-quality mechanism rather than contextual correlates.</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Quote_For_Paper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'There is little comprehensive empirical analysis of the WBG's operations in [FCS] countries… Detailed cross-section regression analysis finds that indicators of project complexity, such as supervision costs, staff time, preparation time, and financing, are correlated with lower outcome ratings.' (Ralston 2014, p.1 Abstract)</w:t>
            </w:r>
          </w:p>
        </w:tc>
      </w:tr>
    </w:tbl>
    <w:p>
      <w:pPr>
        <w:spacing w:after="200"/>
      </w:pPr>
    </w:p>
    <w:p>
      <w:pPr>
        <w:spacing w:before="200" w:after="80"/>
      </w:pPr>
      <w:r>
        <w:rPr>
          <w:rFonts w:ascii="Arial" w:cs="Arial" w:eastAsia="Arial" w:hAnsi="Arial"/>
          <w:b/>
          <w:bCs/>
          <w:color w:val="1F4E79"/>
          <w:sz w:val="22"/>
          <w:szCs w:val="22"/>
        </w:rPr>
        <w:t xml:space="preserve">▶  FCS-02 — Jamison, Pacheco, Henisz &amp; Ganson (c.2024)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Paper_ID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FCS-02</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Authors_Year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Jamison, Pacheco, Henisz &amp; Ganson (c.2024)</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Model_Specification</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Two-stage: (1) Propensity score panel matching (PSM-TSCS) on time-varying cell characteristics (population, GDP, distance to capital, drought, agricultural land, excluded ethnic groups, regime type) to create matched treatment/control cells. (2) OLS/fixed-effects regression on matched sample: Deaths_sqrt = α + β1(IFC project) + β2(IBRD/IDA project) + β3(Insularity) + β4(Insularity × IFC) + γ(Controls) + ε.</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Identification_Strategy</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Propensity score panel matching is primary causal strategy — matches grid cells receiving projects to similar cells that did not in the same year. Controls for observational confounding of project placement. Insularity measured via GDELT media corpus (text-based), reducing direct endogeneity of stakeholder choices.</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Control_Variables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Population (ln); GDP (ln); distance to capital; drought conditions; agricultural land coverage; number of politically excluded ethnic groups; regime type. Year FE and cell FE implied by panel structure.</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Fixed_Effects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Cell FE and year FE in panel structure (TSCS design). Matching ensures balanced observables pre-treatment.</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Standard_Errors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Not explicitly stated; likely clustered at cell or country level given TSCS design (see p.13 methodology).</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Main_Coefficient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IFC projects significantly more conflict-prone than IBRD/IDA. Insularity positively predicts conflict deaths. Insularity effect amplified in conflict-prone settings (H3 supported). Specific β values not quoted in pages reviewed but PSM-matched effects reported as significant.</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Robustness_Tests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T-tests on covariate balance post-matching. FCS vs. non-FCS subsamples (H3). Herfindahl index robustness (network size correction applied). Multiple conflict-prone environment indicators.</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Bias_Acknowledged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Selection bias of project placement addressed by PSM. Measurement validity of GDELT media corpus acknowledged (media reporting gaps in FCS). Herfindahl index is an approximation of network hierarchy.</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Bias_NOT_Addressed</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PSM is not randomisation — unmeasured confounders remain. GDELT coverage varies across countries and time (sparse in FCS). Insularity is media-derived, not from project documents. Project quality at entry (QE) not measured. Reverse causality: high-conflict cells may attract certain types of project design.</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Data_Source_Detail</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World Bank Project Database (IBRD/IDA, publicly available); IFC project data collected by Jamison et al. (2024) via Freedom of Information; UCDP-GED conflict event dataset (Melander 2013); GDELT corpus (Leetaru &amp; Schrodt 2013); PRIO-GRID 0.5°×0.5° spatial grid (Tollefsen et al. 2012); HYDE population data; Nordhaus GDP-grid; Vogt et al. (2015) ethnic exclusion data. 1994–2020.</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Sample_Restrictions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All publicly disclosed IFC and IBRD/IDA projects 1994–2020. Land-mass grid cells only (64,818 of 259,200). Observations with non-missing controls. n≈1.75M cell-years (IFC spec); n≈1.62M (IBRD/IDA spec).</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Cross_Institution</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Explicitly cross-institutional within WBG: IBRD, IDA vs. IFC. Does not include bilateral donors, ADB, AfDB.</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Heterogeneity_Tests</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H3 test: conflict-prone vs. non-conflict-prone environments (interaction). IBRD/IDA vs. IFC split is primary heterogeneity test. No project-sector heterogeneity tests.</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Your_Advance</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Brandon's study advances beyond Jamison et al. by: (1) measuring project design quality (QE) directly from appraisal data rather than inferring it through media-reported network insularity; (2) using project-level rather than grid-cell-year as unit of analysis; (3) demonstrating that QE is the dominant predictor (OR=27.8) across 12,328 projects — a cleaner, more actionable result for project-level decision-making; (4) not requiring complex PSM infrastructure — logistic regression on the full portfolio suffices.</w:t>
            </w:r>
          </w:p>
        </w:tc>
      </w:tr>
      <w:tr>
        <w:tc>
          <w:tcPr>
            <w:tcW w:type="dxa" w:w="2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r>
              <w:rPr>
                <w:rFonts w:ascii="Arial" w:cs="Arial" w:eastAsia="Arial" w:hAnsi="Arial"/>
                <w:b/>
                <w:bCs/>
                <w:sz w:val="18"/>
                <w:szCs w:val="18"/>
              </w:rPr>
              <w:t xml:space="preserve">Quote_For_Paper</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'Insularity—the favoring of powerful groups rather than a more representative or inclusive set of stakeholders—in development finance… helps to explain the variance in outcomes between and within these portfolios of the World Bank Group.' (p.2 Abstract)</w:t>
            </w:r>
          </w:p>
        </w:tc>
      </w:tr>
    </w:tbl>
    <w:p>
      <w:pPr>
        <w:spacing w:after="200"/>
      </w:pPr>
    </w:p>
    <w:p>
      <w:pPr>
        <w:pStyle w:val="Heading1"/>
        <w:spacing w:before="300" w:after="150"/>
      </w:pPr>
      <w:r>
        <w:rPr>
          <w:rFonts w:ascii="Arial" w:cs="Arial" w:eastAsia="Arial" w:hAnsi="Arial"/>
          <w:b/>
          <w:bCs/>
          <w:color w:val="1F4E79"/>
          <w:sz w:val="28"/>
          <w:szCs w:val="28"/>
        </w:rPr>
        <w:t xml:space="preserve">STEP 4 — STREAM SUMMARY</w:t>
      </w:r>
    </w:p>
    <w:p>
      <w:pPr>
        <w:spacing w:after="80"/>
      </w:pPr>
      <w:r>
        <w:rPr>
          <w:rFonts w:ascii="Arial" w:cs="Arial" w:eastAsia="Arial" w:hAnsi="Arial"/>
          <w:b/>
          <w:bCs/>
          <w:sz w:val="20"/>
          <w:szCs w:val="20"/>
        </w:rPr>
        <w:t xml:space="preserve">n Included: </w:t>
      </w:r>
      <w:r>
        <w:rPr>
          <w:rFonts w:ascii="Arial" w:cs="Arial" w:eastAsia="Arial" w:hAnsi="Arial"/>
          <w:sz w:val="20"/>
          <w:szCs w:val="20"/>
        </w:rPr>
        <w:t xml:space="preserve">3 unique papers (4 files; 1 duplicate)</w:t>
      </w:r>
    </w:p>
    <w:p>
      <w:pPr>
        <w:spacing w:after="80"/>
      </w:pPr>
      <w:r>
        <w:rPr>
          <w:rFonts w:ascii="Arial" w:cs="Arial" w:eastAsia="Arial" w:hAnsi="Arial"/>
          <w:b/>
          <w:bCs/>
          <w:sz w:val="20"/>
          <w:szCs w:val="20"/>
        </w:rPr>
        <w:t xml:space="preserve">n Excluded: </w:t>
      </w:r>
      <w:r>
        <w:rPr>
          <w:rFonts w:ascii="Arial" w:cs="Arial" w:eastAsia="Arial" w:hAnsi="Arial"/>
          <w:sz w:val="20"/>
          <w:szCs w:val="20"/>
        </w:rPr>
        <w:t xml:space="preserve">10 papers (9 unique + 1 duplicate file)</w:t>
      </w:r>
    </w:p>
    <w:p>
      <w:pPr>
        <w:spacing w:after="100"/>
      </w:pPr>
    </w:p>
    <w:p>
      <w:pPr>
        <w:pStyle w:val="Heading2"/>
        <w:spacing w:before="200" w:after="100"/>
      </w:pPr>
      <w:r>
        <w:rPr>
          <w:rFonts w:ascii="Arial" w:cs="Arial" w:eastAsia="Arial" w:hAnsi="Arial"/>
          <w:b/>
          <w:bCs/>
          <w:color w:val="2E75B6"/>
          <w:sz w:val="24"/>
          <w:szCs w:val="24"/>
        </w:rPr>
        <w:t xml:space="preserve">Stream Gap Confirmed</w:t>
      </w:r>
    </w:p>
    <w:p>
      <w:pPr>
        <w:spacing w:after="120"/>
      </w:pPr>
      <w:r>
        <w:rPr>
          <w:rFonts w:ascii="Arial" w:cs="Arial" w:eastAsia="Arial" w:hAnsi="Arial"/>
          <w:sz w:val="20"/>
          <w:szCs w:val="20"/>
        </w:rPr>
        <w:t xml:space="preserve">The FCS literature establishes that projects in fragile and conflict-affected states perform modestly worse than in stable contexts (Ralston 2014: –0.2 pts on IEG 6-pt scale) and that design-linked factors (stakeholder inclusivity, preparation quality) affect both development and conflict outcomes (Jamison et al.), but NO study in this stream has directly measured project design quality at entry (QE/Quality at Entry score from appraisal documents) as a discrete predictor of project outcome across the full FCS portfolio — leaving unanswered whether poor design quality is the dominant, addressable root cause of FCS underperformance, as Brandon's OR=27.8 finding (n=12,328) suggests.</w:t>
      </w:r>
    </w:p>
    <w:p>
      <w:pPr>
        <w:spacing w:after="200"/>
      </w:pPr>
    </w:p>
    <w:p>
      <w:pPr>
        <w:pStyle w:val="Heading2"/>
        <w:spacing w:before="200" w:after="100"/>
      </w:pPr>
      <w:r>
        <w:rPr>
          <w:rFonts w:ascii="Arial" w:cs="Arial" w:eastAsia="Arial" w:hAnsi="Arial"/>
          <w:b/>
          <w:bCs/>
          <w:color w:val="2E75B6"/>
          <w:sz w:val="24"/>
          <w:szCs w:val="24"/>
        </w:rPr>
        <w:t xml:space="preserve">Top 3 Forward Citations to Chase</w:t>
      </w:r>
    </w:p>
    <w:p>
      <w:pPr>
        <w:spacing w:before="120" w:after="40"/>
      </w:pPr>
      <w:r>
        <w:rPr>
          <w:rFonts w:ascii="Arial" w:cs="Arial" w:eastAsia="Arial" w:hAnsi="Arial"/>
          <w:b/>
          <w:bCs/>
          <w:sz w:val="20"/>
          <w:szCs w:val="20"/>
        </w:rPr>
        <w:t xml:space="preserve">1. </w:t>
      </w:r>
      <w:r>
        <w:rPr>
          <w:rFonts w:ascii="Arial" w:cs="Arial" w:eastAsia="Arial" w:hAnsi="Arial"/>
          <w:b/>
          <w:bCs/>
          <w:sz w:val="20"/>
          <w:szCs w:val="20"/>
        </w:rPr>
        <w:t xml:space="preserve">Geli, P., Kraay, A., &amp; Nobakht, H. (2014). Predicting World Bank Project Outcome Ratings. World Bank Policy Research Working Paper 7001.</w:t>
      </w:r>
    </w:p>
    <w:p>
      <w:pPr>
        <w:spacing w:after="160"/>
      </w:pPr>
      <w:r>
        <w:rPr>
          <w:rFonts w:ascii="Arial" w:cs="Arial" w:eastAsia="Arial" w:hAnsi="Arial"/>
          <w:i/>
          <w:iCs/>
          <w:sz w:val="20"/>
          <w:szCs w:val="20"/>
        </w:rPr>
        <w:t xml:space="preserve">   Why chase: Develops the TTL-quality propensity score method used by Ralston (2014). Is the methodological predecessor for all World Bank project outcome regression work. Brandon should cite this as the foundational project-outcome regression study and position his QE measure as superior to Geli et al.'s TTL-quality proxy.</w:t>
      </w:r>
    </w:p>
    <w:p>
      <w:pPr>
        <w:spacing w:before="120" w:after="40"/>
      </w:pPr>
      <w:r>
        <w:rPr>
          <w:rFonts w:ascii="Arial" w:cs="Arial" w:eastAsia="Arial" w:hAnsi="Arial"/>
          <w:b/>
          <w:bCs/>
          <w:sz w:val="20"/>
          <w:szCs w:val="20"/>
        </w:rPr>
        <w:t xml:space="preserve">2. </w:t>
      </w:r>
      <w:r>
        <w:rPr>
          <w:rFonts w:ascii="Arial" w:cs="Arial" w:eastAsia="Arial" w:hAnsi="Arial"/>
          <w:b/>
          <w:bCs/>
          <w:sz w:val="20"/>
          <w:szCs w:val="20"/>
        </w:rPr>
        <w:t xml:space="preserve">Denizer, C., Kaufmann, D., &amp; Kraay, A. (2013). Good Countries or Good Projects? Macro and Micro Correlates of World Bank Project Performance. Journal of Development Economics, 105, 288–302.</w:t>
      </w:r>
    </w:p>
    <w:p>
      <w:pPr>
        <w:spacing w:after="160"/>
      </w:pPr>
      <w:r>
        <w:rPr>
          <w:rFonts w:ascii="Arial" w:cs="Arial" w:eastAsia="Arial" w:hAnsi="Arial"/>
          <w:i/>
          <w:iCs/>
          <w:sz w:val="20"/>
          <w:szCs w:val="20"/>
        </w:rPr>
        <w:t xml:space="preserve">   Why chase: Directly cited by Ralston (2014) as the key prior study decomposing project outcome variance into country vs. project factors. Finds project-level factors explain as much as country-level factors. Brandon's QE finding is the next step: isolating design quality as the dominant project-level factor.</w:t>
      </w:r>
    </w:p>
    <w:p>
      <w:pPr>
        <w:spacing w:before="120" w:after="40"/>
      </w:pPr>
      <w:r>
        <w:rPr>
          <w:rFonts w:ascii="Arial" w:cs="Arial" w:eastAsia="Arial" w:hAnsi="Arial"/>
          <w:b/>
          <w:bCs/>
          <w:sz w:val="20"/>
          <w:szCs w:val="20"/>
        </w:rPr>
        <w:t xml:space="preserve">3. </w:t>
      </w:r>
      <w:r>
        <w:rPr>
          <w:rFonts w:ascii="Arial" w:cs="Arial" w:eastAsia="Arial" w:hAnsi="Arial"/>
          <w:b/>
          <w:bCs/>
          <w:sz w:val="20"/>
          <w:szCs w:val="20"/>
        </w:rPr>
        <w:t xml:space="preserve">Blum, J. R. (2019). Project Performance in Fragile and Conflict-Affected States: What the Data Show. World Bank Group Working Paper.</w:t>
      </w:r>
    </w:p>
    <w:p>
      <w:pPr>
        <w:spacing w:after="160"/>
      </w:pPr>
      <w:r>
        <w:rPr>
          <w:rFonts w:ascii="Arial" w:cs="Arial" w:eastAsia="Arial" w:hAnsi="Arial"/>
          <w:i/>
          <w:iCs/>
          <w:sz w:val="20"/>
          <w:szCs w:val="20"/>
        </w:rPr>
        <w:t xml:space="preserve">   Why chase: Direct forward citation from Ralston (2014) FCS portfolio work — likely updates the FCS outcome analysis with newer cohorts and broader coverage. Would confirm or update the –0.2 pt FCS penalty and may have introduced design quality measures. Brandon must check whether Blum (2019) already tested QE in FCS, and if not, that gap anchor is confirmed.</w:t>
      </w:r>
    </w:p>
    <w:p>
      <w:pPr>
        <w:pStyle w:val="Heading1"/>
        <w:spacing w:before="300" w:after="150"/>
      </w:pPr>
      <w:r>
        <w:rPr>
          <w:rFonts w:ascii="Arial" w:cs="Arial" w:eastAsia="Arial" w:hAnsi="Arial"/>
          <w:b/>
          <w:bCs/>
          <w:color w:val="1F4E79"/>
          <w:sz w:val="28"/>
          <w:szCs w:val="28"/>
        </w:rPr>
        <w:t xml:space="preserve">COPY-PASTE READY — Synthesis Project Paragraph</w:t>
      </w:r>
    </w:p>
    <w:p>
      <w:pPr>
        <w:pBdr>
          <w:left w:val="thick" w:color="1F4E79" w:sz="8" w:space="5"/>
        </w:pBdr>
        <w:shd w:fill="F2F2F2" w:val="clear"/>
        <w:spacing w:after="200"/>
      </w:pPr>
      <w:r>
        <w:rPr>
          <w:rFonts w:ascii="Arial" w:cs="Arial" w:eastAsia="Arial" w:hAnsi="Arial"/>
          <w:sz w:val="20"/>
          <w:szCs w:val="20"/>
        </w:rPr>
        <w:t xml:space="preserve">The fragile states literature establishes both the magnitude of the FCS performance deficit and its correlates, while revealing a critical design-quality gap. Ralston (2014) demonstrates, across 1,292 IDA-financed projects (FY2001–2013), that FCS projects score 0.20 points lower on the IEG 1–6 rating scale (p&lt;0.01), with always-fragile-state projects penalised –0.24 points, while project-complexity proxies (supervision cost, preparation time, staff time) consistently predict worse outcomes — yet no design quality measure is included. Jamison, Pacheco, Henisz &amp; Ganson (c.2024) advance to a causal framework, using propensity score panel matching across ~1.75 million cell-year observations (1994–2020), and find that stakeholder insularity — the concentration of project networks around powerful groups rather than inclusive stakeholders — significantly increases local conflict fatalities, with the effect amplified in already-conflict-prone settings. Taken together, these studies confirm that what happens at the project design stage — whom is engaged, how quality is managed, how complexity is scoped — influences outcomes in fragile states, but neither study directly measures design quality at entry (QE) as coded in project appraisal documents. Brandon's finding of OR=27.8 for QE predicting satisfactory outcomes across 12,328 World Bank projects fills this gap: it is the first estimate to demonstrate that pre-implementation design quality is the dominant, addressable predictor of project success, dwarfing the contextual FCS penalty identified by Ralston (–0.2 pts) and grounding the stakeholder-design insights of Jamison et al. in a portfolio-wide, project-level causal pathway.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2026-02-23T03:07:53.013Z</dcterms:created>
  <dcterms:modified xsi:type="dcterms:W3CDTF">2026-02-23T03:07:53.014Z</dcterms:modified>
</cp:coreProperties>
</file>

<file path=docProps/custom.xml><?xml version="1.0" encoding="utf-8"?>
<Properties xmlns="http://schemas.openxmlformats.org/officeDocument/2006/custom-properties" xmlns:vt="http://schemas.openxmlformats.org/officeDocument/2006/docPropsVTypes"/>
</file>