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b/>
          <w:bCs/>
          <w:color w:val="1F6B75"/>
          <w:sz w:val="36"/>
          <w:szCs w:val="36"/>
        </w:rPr>
        <w:t xml:space="preserve">HETEROGENEOUS TREATMENT EFFECTS STREAM</w:t>
      </w:r>
    </w:p>
    <w:p>
      <w:pPr>
        <w:spacing w:before="0" w:after="100"/>
      </w:pPr>
      <w:r>
        <w:rPr>
          <w:i/>
          <w:iCs/>
          <w:color w:val="444444"/>
          <w:sz w:val="22"/>
          <w:szCs w:val="22"/>
        </w:rPr>
        <w:t xml:space="preserve">Complete Synthesis Project Output — Literature Coding Report</w:t>
      </w:r>
    </w:p>
    <w:p>
      <w:pPr>
        <w:spacing w:before="0" w:after="100"/>
      </w:pPr>
      <w:r>
        <w:rPr>
          <w:color w:val="444444"/>
          <w:sz w:val="18"/>
          <w:szCs w:val="18"/>
        </w:rPr>
        <w:t xml:space="preserve">PhD Candidate: Steve Brandon | QUT/Griffith | Date: February 2026</w:t>
      </w:r>
    </w:p>
    <w:p>
      <w:pPr>
        <w:spacing w:before="0" w:after="300"/>
      </w:pPr>
      <w:r>
        <w:rPr>
          <w:color w:val="000000"/>
          <w:sz w:val="18"/>
          <w:szCs w:val="18"/>
        </w:rPr>
        <w:t xml:space="preserve">Context: OR=27.8 finding that project design quality (QE) predicts World Bank project outcomes (n=12,328). Purpose: Reverse-engineer methodological justification via Literature → Gap → Question → Model → Data → Result.</w:t>
      </w:r>
    </w:p>
    <w:p>
      <w:pPr>
        <w:pStyle w:val="Heading1"/>
      </w:pPr>
      <w:r>
        <w:rPr>
          <w:b/>
          <w:bCs/>
          <w:color w:val="1F6B75"/>
          <w:sz w:val="28"/>
          <w:szCs w:val="28"/>
        </w:rPr>
        <w:t xml:space="preserve">TAB A: All Included Papers (17 Fields)</w:t>
      </w:r>
    </w:p>
    <w:p>
      <w:pPr>
        <w:spacing w:before="80" w:after="80"/>
      </w:pPr>
      <w:r>
        <w:rPr>
          <w:b w:val="false"/>
          <w:bCs w:val="false"/>
          <w:i w:val="false"/>
          <w:iCs w:val="false"/>
          <w:color w:val="000000"/>
          <w:sz w:val="18"/>
          <w:szCs w:val="18"/>
        </w:rPr>
        <w:t xml:space="preserve">n = 13 papers screened | All 13 INCLUDED (methodological + applied HTE stream; simulation studies with quantitative outcomes accepted for methods justification)</w:t>
      </w:r>
    </w:p>
    <w:p>
      <w:pPr>
        <w:spacing w:before="100" w:after="100"/>
      </w:pPr>
      <w:r>
        <w:t xml:space="preserve"/>
      </w:r>
    </w:p>
    <w:p>
      <w:pPr>
        <w:spacing w:before="200" w:after="60"/>
      </w:pPr>
      <w:r>
        <w:rPr>
          <w:b/>
          <w:bCs/>
          <w:color w:val="1F6B75"/>
          <w:sz w:val="19"/>
          <w:szCs w:val="19"/>
        </w:rPr>
        <w:t xml:space="preserve">▶ P01: Athey &amp; Imbens (2016) — Recursive Partitioning for Heterogeneous Causal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P01</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Authors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Athey &amp; Imbens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2016</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Title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Recursive Partitioning for Heterogeneous Causal Effects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Journal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PNAS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Stream</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HTE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Research_Question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Can data-driven recursive partitioning identify subpopulations with heterogeneous treatment effects while producing valid CIs?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Outcome_Variable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CATE (conditional avg treatment effect)</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Main_Predictor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Covariate-driven partitions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Model_Type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Causal trees (honest estimation); cross-validation for tree selection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Dataset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Simulated data + observational field experiments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n_Projects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Simulation (~1,000–10,000 per run)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Key_Finding</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Honest causal trees achieve nominal 90% CI coverage; non-honest approaches have coverage 74–84%; MSE cost 7–22%</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Gap_They_Left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Does not extend to continuous/multi-arm treatments; no application to large-scale development project databases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Relevant_to_RQ</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Yes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Deep_Read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Yes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Notes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Foundational paper. Introduces honest estimation via sample-splitting. 2,000+ citations.</w:t>
            </w:r>
          </w:p>
        </w:tc>
      </w:tr>
    </w:tbl>
    <w:p>
      <w:pPr>
        <w:spacing w:before="80" w:after="80"/>
      </w:pPr>
      <w:r>
        <w:t xml:space="preserve"/>
      </w:r>
    </w:p>
    <w:p>
      <w:pPr>
        <w:spacing w:before="200" w:after="60"/>
      </w:pPr>
      <w:r>
        <w:rPr>
          <w:b/>
          <w:bCs/>
          <w:color w:val="1F6B75"/>
          <w:sz w:val="19"/>
          <w:szCs w:val="19"/>
        </w:rPr>
        <w:t xml:space="preserve">▶ P02: Su, Tsai, Wang, Nickerson &amp; Li (2009) — Subgroup Analysis via Recursive Partitioning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P02</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Authors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Su, Tsai, Wang, Nickerson &amp; Li</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2009</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Title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Subgroup Analysis via Recursive Partitioning</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Journal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J Machine Learning Research</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Stream</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HTE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Research_Question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Can an interaction tree (IT) procedure identify treatment-effect subgroups in comparative studies without pre-specified subgroups?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Outcome_Variable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Treatment effect magnitude (t-statistic within nodes)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Main_Predictor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Treatment × covariate interaction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Model_Type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Interaction Trees (IT) based on CART; random forest variable importance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Dataset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US CPS wage data (observational) + simulations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n_Projects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~10,400 (CPS sample)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Key_Finding</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IT correctly selects true tree structure in 83–99% of simulations; CPS identifies 4 subgroups with qualitative interaction by gender × education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Gap_They_Left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 formal CI framework for IT-derived effects; assumes binary treatment; no application to development project data</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Relevant_to_RQ</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Yes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Deep_Read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Yes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Notes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Predecessor to Athey &amp; Imbens. Introduces variable importance via random forests for HTE.</w:t>
            </w:r>
          </w:p>
        </w:tc>
      </w:tr>
    </w:tbl>
    <w:p>
      <w:pPr>
        <w:spacing w:before="80" w:after="80"/>
      </w:pPr>
      <w:r>
        <w:t xml:space="preserve"/>
      </w:r>
    </w:p>
    <w:p>
      <w:pPr>
        <w:spacing w:before="200" w:after="60"/>
      </w:pPr>
      <w:r>
        <w:rPr>
          <w:b/>
          <w:bCs/>
          <w:color w:val="1F6B75"/>
          <w:sz w:val="19"/>
          <w:szCs w:val="19"/>
        </w:rPr>
        <w:t xml:space="preserve">▶ P03: Cattaneo, Klusowski &amp; Tian (2024 (arXiv 2211.10805)) — On the Pointwise Behavior of Recursive Partitioning and Its Implications for HTE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P03</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Authors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Cattaneo, Klusowski &amp; Tian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2024 (arXiv 2211.10805)</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Title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On the Pointwise Behavior of Recursive Partitioning and Its Implications for HTE Estimation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Journal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arXiv / Princeton WP</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Stream</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HTE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Research_Question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Do decision trees trained by adaptive recursive partitioning achieve optimal pointwise convergence for causal effect estimation?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Outcome_Variable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CATE at specific covariate values x</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Main_Predictor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Recursive partitioning (CART/honest trees)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Model_Type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Theoretical analysis; simulation verification; honest random forests as remedy</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Dataset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Simulated data (various DGPs)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n_Projects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Simulation (n up to tens of thousands)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Key_Finding</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Decision trees fail to achieve polynomial convergence rates uniformly with non-vanishing probability; random forests restore near-optimal convergence via subsampling + random feature selection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Gap_They_Left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Results limited to simplified DGPs; does not address multi-stage/longitudinal treatments or development project complexity</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Relevant_to_RQ</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Yes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Deep_Read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Yes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Notes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Critical theoretical warning: naive causal trees are inconsistent at boundary points. Random forests essential for pointwise accuracy.</w:t>
            </w:r>
          </w:p>
        </w:tc>
      </w:tr>
    </w:tbl>
    <w:p>
      <w:pPr>
        <w:spacing w:before="80" w:after="80"/>
      </w:pPr>
      <w:r>
        <w:t xml:space="preserve"/>
      </w:r>
    </w:p>
    <w:p>
      <w:pPr>
        <w:spacing w:before="200" w:after="60"/>
      </w:pPr>
      <w:r>
        <w:rPr>
          <w:b/>
          <w:bCs/>
          <w:color w:val="1F6B75"/>
          <w:sz w:val="19"/>
          <w:szCs w:val="19"/>
        </w:rPr>
        <w:t xml:space="preserve">▶ P04: Adebayo, Sheriffdeen &amp; Luca (2024) — Causal Inference in Heterogeneous Populations: Integrating Recursive Partitioning with Flexible Outcome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P04</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Authors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Adebayo, Sheriffdeen &amp; Luca</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2024</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Title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Causal Inference in Heterogeneous Populations: Integrating Recursive Partitioning with Flexible Outcome Models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Journal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Unpublished/Preprint</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Stream</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HTE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Research_Question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How can recursive partitioning and flexible outcome models be integrated to estimate HTE in heterogeneous populations?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Outcome_Variable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Subgroup-specific treatment effects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Main_Predictor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Recursive partitioning + flexible ML models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Model_Type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Two-stage: RP for subgroup discovery, GAM/quantile/ML within nodes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Dataset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Simulated + observational empirical application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n_Projects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Not specified (simulation-based)</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Key_Finding</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Integrated framework reduces bias and improves CI coverage vs ATE and single-model approaches, especially under misspecification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Gap_They_Left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Journal not specified; no n_projects reported; primarily medical focus — no development project application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Relevant_to_RQ</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Yes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Deep_Read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Notes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Methodologically relevant for justifying multi-stage HTE approach. Directly applicable to WB project design quality × outcome heterogeneity.</w:t>
            </w:r>
          </w:p>
        </w:tc>
      </w:tr>
    </w:tbl>
    <w:p>
      <w:pPr>
        <w:spacing w:before="80" w:after="80"/>
      </w:pPr>
      <w:r>
        <w:t xml:space="preserve"/>
      </w:r>
    </w:p>
    <w:p>
      <w:pPr>
        <w:spacing w:before="200" w:after="60"/>
      </w:pPr>
      <w:r>
        <w:rPr>
          <w:b/>
          <w:bCs/>
          <w:color w:val="1F6B75"/>
          <w:sz w:val="19"/>
          <w:szCs w:val="19"/>
        </w:rPr>
        <w:t xml:space="preserve">▶ P05: Luca &amp; Said (2024) — Effect Estimation Using Model-Based Recursive Partitioning and Bayesian Flexible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P05</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Authors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Luca &amp; Said</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2024</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Title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Effect Estimation Using Model-Based Recursive Partitioning and Bayesian Flexible Model</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Journal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Unpublished/Preprint</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Stream</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HTE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Research_Question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Can MOB + Bayesian flexible models (BART, GP) produce robust subgroup-specific treatment effects with uncertainty quantification?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Outcome_Variable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Individual treatment effects (ITEs)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Main_Predictor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Model-based recursive partitioning (MOB) + BART</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Model_Type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Two-stage MOB-Bayesian framework; posterior credible intervals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Dataset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Real-world healthcare data + simulations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n_Projects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Not specified</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Key_Finding</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MOB-Bayesian outperforms standalone MOB and BART in bias, RMSE, coverage; provides full posterior uncertainty</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Gap_They_Left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Sequential integration may miss cross-subgroup interactions; no development project application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Relevant_to_RQ</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Yes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Deep_Read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Notes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Relevant for Bayesian uncertainty quantification of project-level heterogeneous effects.</w:t>
            </w:r>
          </w:p>
        </w:tc>
      </w:tr>
    </w:tbl>
    <w:p>
      <w:pPr>
        <w:spacing w:before="80" w:after="80"/>
      </w:pPr>
      <w:r>
        <w:t xml:space="preserve"/>
      </w:r>
    </w:p>
    <w:p>
      <w:pPr>
        <w:spacing w:before="200" w:after="60"/>
      </w:pPr>
      <w:r>
        <w:rPr>
          <w:b/>
          <w:bCs/>
          <w:color w:val="1F6B75"/>
          <w:sz w:val="19"/>
          <w:szCs w:val="19"/>
        </w:rPr>
        <w:t xml:space="preserve">▶ P06: Cate &amp; Busari (2024) — Adaptive Estimation of HTEs Using Model-Based Recursive Partitioning and Flexible Regression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P06</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Authors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Cate &amp; Busari</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2024</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Title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Adaptive Estimation of HTEs Using Model-Based Recursive Partitioning and Flexible Regression Models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Journal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Unpublished/Preprint</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Stream</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HTE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Research_Question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Can MBRP + flexible regression (GAM, splines, regularized regression) better recover heterogeneous treatment patterns than standard global models?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Outcome_Variable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HTEs within MBRP-defined subgroups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Main_Predictor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MBRP partitions + GAM/spline within-node models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Model_Type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Adaptive MBRP-flexible regression; cross-validation comparison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Dataset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Simulated + clinical empirical data</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n_Projects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Not specified</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Key_Finding</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MBRP-flexible framework outperforms standard trees and global models; captures discrete and continuous heterogeneity</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Gap_They_Left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 longitudinal extension; no development project data; journal unclear</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Relevant_to_RQ</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Partial</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Deep_Read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Notes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Methodological contribution to interpretability-vs-flexibility tradeoff. Supports justification for non-linear HTE within WB project subgroups.</w:t>
            </w:r>
          </w:p>
        </w:tc>
      </w:tr>
    </w:tbl>
    <w:p>
      <w:pPr>
        <w:spacing w:before="80" w:after="80"/>
      </w:pPr>
      <w:r>
        <w:t xml:space="preserve"/>
      </w:r>
    </w:p>
    <w:p>
      <w:pPr>
        <w:spacing w:before="200" w:after="60"/>
      </w:pPr>
      <w:r>
        <w:rPr>
          <w:b/>
          <w:bCs/>
          <w:color w:val="1F6B75"/>
          <w:sz w:val="19"/>
          <w:szCs w:val="19"/>
        </w:rPr>
        <w:t xml:space="preserve">▶ P07: Ford, James, Hurley &amp; Cate (2024) — Comparative Evaluation of Recursive Partitioning and Causal ML Methods for Subgroup-Specific Treatment Effect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P07</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Authors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Ford, James, Hurley &amp; Cate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2024</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Title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Comparative Evaluation of Recursive Partitioning and Causal ML Methods for Subgroup-Specific Treatment Effect Estimation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Journal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Unpublished/Preprint</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Stream</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HTE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Research_Question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Which of model-based trees, causal forests, and BART best identifies subgroups and estimates subgroup-specific effects in high-dimensional clinical data?</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Outcome_Variable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Subgroup-specific treatment effects (bias, variance, coverage)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Main_Predictor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Treatment assignment × patient covariates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Model_Type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Comparative: MOB trees vs. causal forests vs. BART; simulation + empirical</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Dataset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High-dimensional clinical datasets (simulated + EHR)</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n_Projects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Not specified</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Key_Finding</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Causal forests: low bias/variance, high coverage, low interpretability. Trees: interpretable, moderate bias/variance. BART: best UQ, highest compute cost.</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Gap_They_Left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 development project domain; limited to binary treatment; no formal DGP variety</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Relevant_to_RQ</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Partial</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Deep_Read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Notes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Provides benchmark comparison to justify method selection for WB project HTE analysis.</w:t>
            </w:r>
          </w:p>
        </w:tc>
      </w:tr>
    </w:tbl>
    <w:p>
      <w:pPr>
        <w:spacing w:before="80" w:after="80"/>
      </w:pPr>
      <w:r>
        <w:t xml:space="preserve"/>
      </w:r>
    </w:p>
    <w:p>
      <w:pPr>
        <w:spacing w:before="200" w:after="60"/>
      </w:pPr>
      <w:r>
        <w:rPr>
          <w:b/>
          <w:bCs/>
          <w:color w:val="1F6B75"/>
          <w:sz w:val="19"/>
          <w:szCs w:val="19"/>
        </w:rPr>
        <w:t xml:space="preserve">▶ P08: [Authors: 1and25] (2024) — Dynamic Treatment Effect Modeling via Longitudinal MOB for Sequential Treatment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P08</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Authors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[Authors: 1and25]</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2024</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Title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Dynamic Treatment Effect Modeling via Longitudinal MOB for Sequential Treatment Regimes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Journal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Unpublished/Preprint</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Stream</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HTE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Research_Question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How can MOB be extended to longitudinal settings to detect time-varying parameter instability and identify subgroups with evolving treatment responses?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Outcome_Variable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Longitudinal treatment effect trajectories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Main_Predictor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Time-varying MOB partitions + flexible longitudinal models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Model_Type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Dynamic longitudinal MOB; simulation + empirical clinical trial data</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Dataset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Longitudinal clinical trial/observational data</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n_Projects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Not specified (simulation &gt;85% recovery)</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Key_Finding</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Dynamic MOB correctly recovers subgroups with evolving responses in &gt;85% of simulations; outperforms causal forests and spline-based models for time-varying effects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Gap_They_Left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 multi-stage adaptive regime; no development project data; journal unclear</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Relevant_to_RQ</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Partial</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Deep_Read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Notes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Relevant if WB projects involve multi-phase designs or time-varying treatment intensity.</w:t>
            </w:r>
          </w:p>
        </w:tc>
      </w:tr>
    </w:tbl>
    <w:p>
      <w:pPr>
        <w:spacing w:before="80" w:after="80"/>
      </w:pPr>
      <w:r>
        <w:t xml:space="preserve"/>
      </w:r>
    </w:p>
    <w:p>
      <w:pPr>
        <w:spacing w:before="200" w:after="60"/>
      </w:pPr>
      <w:r>
        <w:rPr>
          <w:b/>
          <w:bCs/>
          <w:color w:val="1F6B75"/>
          <w:sz w:val="19"/>
          <w:szCs w:val="19"/>
        </w:rPr>
        <w:t xml:space="preserve">▶ P09: Clement (2024) — Precision Medicine Applications of Recursive Partitioning and Flexible Treatment Effect Models in Chronic Disease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P09</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Authors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Clement</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2024</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Title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Precision Medicine Applications of Recursive Partitioning and Flexible Treatment Effect Models in Chronic Disease Management</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Journal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Unpublished/Preprint</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Stream</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HTE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Research_Question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Can recursive partitioning + flexible effect models identify patient subgroups with differential chronic disease treatment responses?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Outcome_Variable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Individualized treatment effects (HbA1c, BP, lung function)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Main_Predictor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Recursive partitioning subgroup membership</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Model_Type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Two-stage: CART/MOB + regularized regression/Bayesian within nodes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Dataset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Real-world EHR + simulated chronic disease data</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n_Projects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Not specified</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Key_Finding</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Framework improves subgroup identification accuracy and ITE estimation vs population-average models; results robust across noise/sample-size scenarios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Gap_They_Left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Limited to chronic disease; no external validation; no development project data</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Relevant_to_RQ</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Partial</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Deep_Read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Notes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Clinically focused application. Confirms two-stage RP + flexible modeling in complex real-world data.</w:t>
            </w:r>
          </w:p>
        </w:tc>
      </w:tr>
    </w:tbl>
    <w:p>
      <w:pPr>
        <w:spacing w:before="80" w:after="80"/>
      </w:pPr>
      <w:r>
        <w:t xml:space="preserve"/>
      </w:r>
    </w:p>
    <w:p>
      <w:pPr>
        <w:spacing w:before="200" w:after="60"/>
      </w:pPr>
      <w:r>
        <w:rPr>
          <w:b/>
          <w:bCs/>
          <w:color w:val="1F6B75"/>
          <w:sz w:val="19"/>
          <w:szCs w:val="19"/>
        </w:rPr>
        <w:t xml:space="preserve">▶ P10: Finch (2015) — Recursive Partitioning Methods for Multilevel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P10</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Authors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Finch</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2015</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Title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Recursive Partitioning Methods for Multilevel Data</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Journal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General Linear Model Journal</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Stream</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HTE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Research_Question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Can MLEDA random forests and RE-EM trees properly account for multilevel data structure in recursive partitioning analyses?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Outcome_Variable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Math achievement scores (TIMSS)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Main_Predictor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Student-level SES, learning strategies; school-level SES; country</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Model_Type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MLEDA (multilevel exploratory data analysis); RE-EM trees (random-effects regression trees)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Dataset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TIMSS 2011 data (multilevel: students, schools, countries)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n_Projects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~14,000+ students across 50 countries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Key_Finding</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SES is the strongest predictor of math achievement; MLEDA and RE-EM trees both account for clustering but differ in output (global vs. tree-specific).</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Gap_They_Left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Does not address causal identification; no treatment variable; no confidence intervals for subgroup effects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Relevant_to_RQ</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Partial</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Deep_Read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Notes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Methodologically important for WB project-level data with hierarchical structure (projects nested in countries/sectors).</w:t>
            </w:r>
          </w:p>
        </w:tc>
      </w:tr>
    </w:tbl>
    <w:p>
      <w:pPr>
        <w:spacing w:before="80" w:after="80"/>
      </w:pPr>
      <w:r>
        <w:t xml:space="preserve"/>
      </w:r>
    </w:p>
    <w:p>
      <w:pPr>
        <w:spacing w:before="200" w:after="60"/>
      </w:pPr>
      <w:r>
        <w:rPr>
          <w:b/>
          <w:bCs/>
          <w:color w:val="1F6B75"/>
          <w:sz w:val="19"/>
          <w:szCs w:val="19"/>
        </w:rPr>
        <w:t xml:space="preserve">▶ P11: [NeurIPS Authors] (2020) — Robust Recursive Partitioning for Heterogeneous Treatment Effects with Uncertainty Quantification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P11</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Authors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[NeurIPS Authors]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2020</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Title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Robust Recursive Partitioning for Heterogeneous Treatment Effects with Uncertainty Quantification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Journal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NeurIPS Proceedings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Stream</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HTE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Research_Question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Can causal trees be made robust to model misspecification while providing valid uncertainty quantification for treatment effect heterogeneity?</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Outcome_Variable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Heterogeneous treatment effects; CI coverage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Main_Predictor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Robust causal tree splits with UQ</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Model_Type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Robust causal trees with uncertainty quantification; honest estimation extensions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Dataset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Simulated RCT-type data</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n_Projects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Simulation (n varies)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Key_Finding</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Robust RP framework achieves valid uncertainty quantification under misspecification; outperforms standard causal trees in terms of coverage probability and MSE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Gap_They_Left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Application limited to simulated RCT data; no large-scale observational development project data</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Relevant_to_RQ</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Yes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Deep_Read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Notes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Directly relevant: provides the robustness guarantees needed when applying HTE to WB project data with potential misspecification.</w:t>
            </w:r>
          </w:p>
        </w:tc>
      </w:tr>
    </w:tbl>
    <w:p>
      <w:pPr>
        <w:spacing w:before="80" w:after="80"/>
      </w:pPr>
      <w:r>
        <w:t xml:space="preserve"/>
      </w:r>
    </w:p>
    <w:p>
      <w:pPr>
        <w:spacing w:before="200" w:after="60"/>
      </w:pPr>
      <w:r>
        <w:rPr>
          <w:b/>
          <w:bCs/>
          <w:color w:val="1F6B75"/>
          <w:sz w:val="19"/>
          <w:szCs w:val="19"/>
        </w:rPr>
        <w:t xml:space="preserve">▶ P12: [SSRN 1881683 Authors] (~2010) — Recursive Partitioning Ensemble for Pharmacogenomic Subgroup Identification and Cost-Effectiveness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P12</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Authors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[SSRN 1881683 Authors]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~2010</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Title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Recursive Partitioning Ensemble for Pharmacogenomic Subgroup Identification and Cost-Effectiveness Analysis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Journal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SSRN Working Paper</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Stream</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HTE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Research_Question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Can RP ensemble methods identify treatment responder subgroups based on genetic data for cost-effectiveness analysis?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Outcome_Variable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Treatment response probability; QALY; cost</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Main_Predictor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SNP genotype; RP ensemble score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Model_Type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RP ensemble (random trees with pruning and bootstrapping); MCMC GLM; comparison vs random forest and stepwise logistic</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Dataset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Simulated pharmacogenomic dataset (n=400 genotypes) + HapMap data</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n_Projects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~400 simulated individuals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Key_Finding</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RP ensemble outperforms random forest and stepwise logistic in out-of-sample treatment response prediction; Bayesian models quantify cost-QALY uncertainty across genotype classes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Gap_They_Left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Small sample size (~400); limited to simulated pharmacogenomic data; no direct policy application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Relevant_to_RQ</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Partial</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Deep_Read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Notes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Early application of RP ensembles to subgroup-driven cost-effectiveness — parallels project design heterogeneity research.</w:t>
            </w:r>
          </w:p>
        </w:tc>
      </w:tr>
    </w:tbl>
    <w:p>
      <w:pPr>
        <w:spacing w:before="80" w:after="80"/>
      </w:pPr>
      <w:r>
        <w:t xml:space="preserve"/>
      </w:r>
    </w:p>
    <w:p>
      <w:pPr>
        <w:spacing w:before="200" w:after="60"/>
      </w:pPr>
      <w:r>
        <w:rPr>
          <w:b/>
          <w:bCs/>
          <w:color w:val="1F6B75"/>
          <w:sz w:val="19"/>
          <w:szCs w:val="19"/>
        </w:rPr>
        <w:t xml:space="preserve">▶ P13: Seibold, Zeileis &amp; Hothorn (2016) — Model-Based Recursive Partitioning for Subgroup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P13</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Authors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Seibold, Zeileis &amp; Hothorn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2016</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Title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Model-Based Recursive Partitioning for Subgroup Analyses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Journal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International Journal of Biostatistics (Springer/De Gruyter)</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Stream</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HTE</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Research_Question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Can model-based recursive partitioning (MOB) identify subgroups with differential treatment effects in clinical trial data using parameter instability tests?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Outcome_Variable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Subgroup-specific treatment effect estimates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Main_Predictor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MOB parameter instability tests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Model_Type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MOB (model-based trees using score-based instability tests); comparison to standard CART</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Dataset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Clinical trial data (metabolic syndrome / chronic disease EHR data)</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n_Projects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 ≈ 1,628 (clinical trial participants)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Key_Finding</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MOB identifies clinically meaningful subgroups (sex, site, education, physical activity) with heterogeneous treatment success rates ranging 26–68%</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Gap_They_Left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MOB requires parametric outcome model; sensitive to stopping criteria; no development project application</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Relevant_to_RQ</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Yes</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Deep_Read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w:t>
            </w:r>
          </w:p>
        </w:tc>
      </w:tr>
      <w:tr>
        <w:tc>
          <w:tcPr>
            <w:tcW w:type="dxa" w:w="2200"/>
            <w:tcBorders>
              <w:top w:val="single" w:color="AAAAAA" w:sz="4"/>
              <w:left w:val="single" w:color="AAAAAA" w:sz="4"/>
              <w:bottom w:val="single" w:color="AAAAAA" w:sz="4"/>
              <w:right w:val="single" w:color="AAAAAA" w:sz="4"/>
            </w:tcBorders>
            <w:shd w:fill="D0E8F0" w:val="clear"/>
            <w:tcMar>
              <w:top w:type="dxa" w:w="50"/>
              <w:left w:type="dxa" w:w="80"/>
              <w:bottom w:type="dxa" w:w="50"/>
              <w:right w:type="dxa" w:w="80"/>
            </w:tcMar>
          </w:tcPr>
          <w:p>
            <w:r>
              <w:rPr>
                <w:b/>
                <w:bCs/>
                <w:color w:val="000000"/>
                <w:sz w:val="16"/>
                <w:szCs w:val="16"/>
              </w:rPr>
              <w:t xml:space="preserve">Notes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Key reference for MOB methodology. The tree diagram (Sex → Site → Education splits) demonstrates MOB's interpretability advantage.</w:t>
            </w:r>
          </w:p>
        </w:tc>
      </w:tr>
    </w:tbl>
    <w:p>
      <w:pPr>
        <w:spacing w:before="80" w:after="80"/>
      </w:pPr>
      <w:r>
        <w:t xml:space="preserve"/>
      </w:r>
    </w:p>
    <w:p>
      <w:pPr>
        <w:pStyle w:val="Heading1"/>
      </w:pPr>
      <w:r>
        <w:rPr>
          <w:b/>
          <w:bCs/>
          <w:color w:val="1F6B75"/>
          <w:sz w:val="28"/>
          <w:szCs w:val="28"/>
        </w:rPr>
        <w:t xml:space="preserve">TAB B: Deep-Read Papers (16 Fields)</w:t>
      </w:r>
    </w:p>
    <w:p>
      <w:pPr>
        <w:spacing w:before="80" w:after="80"/>
      </w:pPr>
      <w:r>
        <w:rPr>
          <w:b w:val="false"/>
          <w:bCs w:val="false"/>
          <w:i w:val="false"/>
          <w:iCs w:val="false"/>
          <w:color w:val="000000"/>
          <w:sz w:val="18"/>
          <w:szCs w:val="18"/>
        </w:rPr>
        <w:t xml:space="preserve">Deep_Read = Yes: P01 (Athey &amp; Imbens 2016), P02 (Su et al. 2009), P03 (Cattaneo et al. 2024)</w:t>
      </w:r>
    </w:p>
    <w:p>
      <w:pPr>
        <w:spacing w:before="100" w:after="100"/>
      </w:pPr>
      <w:r>
        <w:t xml:space="preserve"/>
      </w:r>
    </w:p>
    <w:p>
      <w:pPr>
        <w:spacing w:before="200" w:after="60"/>
      </w:pPr>
      <w:r>
        <w:rPr>
          <w:b/>
          <w:bCs/>
          <w:color w:val="1F6B75"/>
          <w:sz w:val="19"/>
          <w:szCs w:val="19"/>
        </w:rPr>
        <w:t xml:space="preserve">▶ Tab B: P01 — Athey &amp; Imbens 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P01</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Authors_Year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Athey &amp; Imbens 2016</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Model_Specification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Causal trees: split on max treatment-effect difference; cross-validation on independent sample; confidence intervals via normal approx to leaf-mean differences</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Identification_Strategy</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Honest estimation: separate samples for tree construction (S_tr) and leaf estimation (S_est); assumes unconfoundedness (W⊥Y(0),Y(1)|X) for observational studies</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Control_Variables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All pre-treatment covariates X used for partitioning; no additional regression controls within leaves</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Fixed_Effects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None explicit; honesty acts as implicit protection against confounding within leaves</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Standard_Errors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Asymptotic normality within leaves; variance estimated from within-leaf outcome variance; confidence intervals nominally calibrated to 90%</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Main_Coefficient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Coverage = 90% (honest) vs 74–84% (non-honest); MSE cost of honest: 7–22% increase in RMSE</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Robustness_Tests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Comparison of honest vs adaptive; depth sensitivity; alternative cross-validation criteria; propensity score weighting extension for observational data</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Bias_Acknowledged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Adaptive estimation bias (spurious correlations); fundamental problem of causal inference (counterfactuals unobserved)</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Bias_NOT_Addressed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Does not handle unobserved confounders; assumes SUTVA; no power analysis for tree depth selection; no application to development program data</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Data_Source_Detail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Simulation (DGP with known treatment effects); field experiments in development economics (referenced, not primary data)</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Sample_Restrictions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Balanced treatment probability; no extreme propensity scores; sufficient n per leaf</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Cross_Institution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 — single institutional data; no cross-bank or cross-country validation</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Heterogeneity_Tests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Simulation comparison across honest vs non-honest; depth sensitivity; sample-splitting ratio sensitivity</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Your_Advance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Steve's advance: Apply causal trees to 12,328 WB projects partitioned by QE score, sector, region, and income group. OR=27.8 becomes a leaf-specific heterogeneous effect estimate.</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Quote_For_Paper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"We propose an 'honest' approach to estimation, whereby one sample is used to construct the partition and another to estimate treatment effects for each subpopulation."</w:t>
            </w:r>
          </w:p>
        </w:tc>
      </w:tr>
    </w:tbl>
    <w:p>
      <w:pPr>
        <w:spacing w:before="80" w:after="80"/>
      </w:pPr>
      <w:r>
        <w:t xml:space="preserve"/>
      </w:r>
    </w:p>
    <w:p>
      <w:pPr>
        <w:spacing w:before="200" w:after="60"/>
      </w:pPr>
      <w:r>
        <w:rPr>
          <w:b/>
          <w:bCs/>
          <w:color w:val="1F6B75"/>
          <w:sz w:val="19"/>
          <w:szCs w:val="19"/>
        </w:rPr>
        <w:t xml:space="preserve">▶ Tab B: P02 — Su et al. 2009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P02</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Authors_Year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Su et al. 2009</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Model_Specification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Interaction trees: splits chosen by χ² statistic (interaction between treatment and splitting variable); tree pruned via adjusted complexity parameter; random forest for variable importance</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Identification_Strategy</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Assumes randomization or conditional independence; no formal propensity score adjustment in primary method; relies on t-statistics within terminal nodes</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Control_Variables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 explicit regression controls; all covariates (education, age, race, region, sex) are potential splitting variables in CPS application</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Fixed_Effects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None; no random or fixed effects specified</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Standard_Errors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Two-sample t-tests within terminal nodes (test sample L3, separate from learning+validation samples L1+L2)</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Main_Coefficient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4 terminal nodes in CPS application; nodes show qualitative interaction: male college graduates earn $12.29/hr vs $8.03/hr for females (treatment effect reversed in some subgroups)</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Robustness_Tests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Alternative complexity parameters (λ=2,3,4,ln(n)); amalgamation step to merge homogeneous nodes; random forest variable importance as alternative selection</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Bias_Acknowledged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Subjectivity in subgroup selection; multiple testing concerns; greedy algorithm may miss higher-order interactions</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Bias_NOT_Addressed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 formal CI for IT-derived effects; no propensity adjustment; subgroup boundaries not shrunk toward 0 (overfit risk with small leaves); simulation covers symmetric DGPs only</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Data_Source_Detail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US Current Population Survey 1995 (wages); simulation via known parametric DGPs (models A–F)</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Sample_Restrictions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Binary treatment (male/female); minimum leaf size n_min; complete case analysis</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Cross_Institution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 — single dataset; no cross-institutional validation</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Heterogeneity_Tests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6 simulation scenarios (A–F) with varying interaction structures; amalgamation sensitivity; variable importance comparisons</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Your_Advance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Steve's advance: Apply IT procedure to WB project data: treatment = project with high QE vs low QE; outcome = successful completion; splitting variables = sector, region, lending type, income. Variable importance via random forests identifies which project attributes most modify the QE → outcome relationship.</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Quote_For_Paper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"The IT procedure automatically facilitates a number of objectively defined subgroups, in some of which the treatment effect is found prominent while in others the treatment has a negligible or even negative effect."</w:t>
            </w:r>
          </w:p>
        </w:tc>
      </w:tr>
    </w:tbl>
    <w:p>
      <w:pPr>
        <w:spacing w:before="80" w:after="80"/>
      </w:pPr>
      <w:r>
        <w:t xml:space="preserve"/>
      </w:r>
    </w:p>
    <w:p>
      <w:pPr>
        <w:spacing w:before="200" w:after="60"/>
      </w:pPr>
      <w:r>
        <w:rPr>
          <w:b/>
          <w:bCs/>
          <w:color w:val="1F6B75"/>
          <w:sz w:val="19"/>
          <w:szCs w:val="19"/>
        </w:rPr>
        <w:t xml:space="preserve">▶ Tab B: P03 — Cattaneo et al.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Paper_ID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P03</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Authors_Year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Cattaneo et al. 2024</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Model_Specification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Decision stumps (depth K=1 honest trees) as building blocks; theoretical analysis of pointwise RMSE convergence; extension to K&gt;1; honest random forest as ensemble remedy</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Identification_Strategy</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Potential outcomes framework; causal decision tree estimators (regression-based θ̂_reg and IPW-based θ̂_ipw); randomized trial setting (known propensity ξ)</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Control_Variables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None — purely theoretical; causal effect is E[Yi(1)−Yi(0)|Xi=x] via tree-based estimation</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Fixed_Effects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None</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Standard_Errors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Theoretical uniform bounds; simulation via pointwise RMSE at x=(0,x₂)^T across x₂∈[0,1]</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Main_Coefficient</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Main result: decision trees fail to achieve polynomial convergence rates uniformly; honest random forests achieve near-optimal rates via subsampling and random feature selection</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Robustness_Tests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Theorem-based proofs; simulation verification; comparison between pruned trees, honest trees, and honest random forests</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Bias_Acknowledged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Assumes iid data; regularity conditions on DGP; results may not directly apply to clustered development project data</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Bias_NOT_Addressed</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Theoretical focus only; does not address how to choose forest hyperparameters in practice; no real data application</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Data_Source_Detail</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Simulation with two-dimensional covariate space; DGP where x and y are dependent</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Sample_Restrictions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Iid sample; continuous outcome; binary or known propensity score</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Cross_Institution</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No</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Heterogeneity_Tests</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Comparison across tree depths; honest vs adaptive; trees vs forests; boundary effects analysis</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Your_Advance</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Steve's advance: This theoretical result justifies USING CAUSAL FORESTS rather than causal trees alone on WB project data, because individual trees may produce unreliable pointwise CATE estimates at specific QE score values. Random forest aggregation is necessary for valid inference.</w:t>
            </w:r>
          </w:p>
        </w:tc>
      </w:tr>
      <w:tr>
        <w:tc>
          <w:tcPr>
            <w:tcW w:type="dxa" w:w="2200"/>
            <w:tcBorders>
              <w:top w:val="single" w:color="AAAAAA" w:sz="4"/>
              <w:left w:val="single" w:color="AAAAAA" w:sz="4"/>
              <w:bottom w:val="single" w:color="AAAAAA" w:sz="4"/>
              <w:right w:val="single" w:color="AAAAAA" w:sz="4"/>
            </w:tcBorders>
            <w:shd w:fill="FFE5CC" w:val="clear"/>
            <w:tcMar>
              <w:top w:type="dxa" w:w="50"/>
              <w:left w:type="dxa" w:w="80"/>
              <w:bottom w:type="dxa" w:w="50"/>
              <w:right w:type="dxa" w:w="80"/>
            </w:tcMar>
          </w:tcPr>
          <w:p>
            <w:r>
              <w:rPr>
                <w:b/>
                <w:bCs/>
                <w:color w:val="000000"/>
                <w:sz w:val="16"/>
                <w:szCs w:val="16"/>
              </w:rPr>
              <w:t xml:space="preserve">Quote_For_Paper</w:t>
            </w:r>
          </w:p>
        </w:tc>
        <w:tc>
          <w:tcPr>
            <w:tcW w:type="dxa" w:w="7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r>
              <w:rPr>
                <w:color w:val="000000"/>
                <w:sz w:val="16"/>
                <w:szCs w:val="16"/>
              </w:rPr>
              <w:t xml:space="preserve">"Decision trees can fail to achieve polynomial rates of convergence in uniform norm with non-vanishing probability, even with pruning... random forests can remedy the situation, turning poor performing trees into nearly optimal procedures."</w:t>
            </w:r>
          </w:p>
        </w:tc>
      </w:tr>
    </w:tbl>
    <w:p>
      <w:pPr>
        <w:spacing w:before="80" w:after="80"/>
      </w:pPr>
      <w:r>
        <w:t xml:space="preserve"/>
      </w:r>
    </w:p>
    <w:p>
      <w:pPr>
        <w:pStyle w:val="Heading1"/>
      </w:pPr>
      <w:r>
        <w:rPr>
          <w:b/>
          <w:bCs/>
          <w:color w:val="1F6B75"/>
          <w:sz w:val="28"/>
          <w:szCs w:val="28"/>
        </w:rPr>
        <w:t xml:space="preserve">STREAM SUMMARY: Heterogeneous Treatment Effects</w:t>
      </w:r>
    </w:p>
    <w:p>
      <w:pPr>
        <w:pStyle w:val="Heading2"/>
      </w:pPr>
      <w:r>
        <w:rPr>
          <w:b/>
          <w:bCs/>
          <w:color w:val="000000"/>
          <w:sz w:val="24"/>
          <w:szCs w:val="24"/>
        </w:rPr>
        <w:t xml:space="preserve">Inclusion Count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AAAAAA" w:sz="4"/>
              <w:left w:val="single" w:color="AAAAAA" w:sz="4"/>
              <w:bottom w:val="single" w:color="AAAAAA" w:sz="4"/>
              <w:right w:val="single" w:color="AAAAAA" w:sz="4"/>
            </w:tcBorders>
            <w:shd w:fill="1F6B75" w:val="clear"/>
            <w:tcMar>
              <w:top w:type="dxa" w:w="60"/>
              <w:left w:type="dxa" w:w="80"/>
              <w:bottom w:type="dxa" w:w="60"/>
              <w:right w:type="dxa" w:w="80"/>
            </w:tcMar>
          </w:tcPr>
          <w:p>
            <w:r>
              <w:rPr>
                <w:b/>
                <w:bCs/>
                <w:color w:val="FFFFFF"/>
                <w:sz w:val="16"/>
                <w:szCs w:val="16"/>
              </w:rPr>
              <w:t xml:space="preserve">Category</w:t>
            </w:r>
          </w:p>
        </w:tc>
        <w:tc>
          <w:tcPr>
            <w:tcW w:type="dxa" w:w="2500"/>
            <w:tcBorders>
              <w:top w:val="single" w:color="AAAAAA" w:sz="4"/>
              <w:left w:val="single" w:color="AAAAAA" w:sz="4"/>
              <w:bottom w:val="single" w:color="AAAAAA" w:sz="4"/>
              <w:right w:val="single" w:color="AAAAAA" w:sz="4"/>
            </w:tcBorders>
            <w:shd w:fill="1F6B75" w:val="clear"/>
            <w:tcMar>
              <w:top w:type="dxa" w:w="60"/>
              <w:left w:type="dxa" w:w="80"/>
              <w:bottom w:type="dxa" w:w="60"/>
              <w:right w:type="dxa" w:w="80"/>
            </w:tcMar>
          </w:tcPr>
          <w:p>
            <w:r>
              <w:rPr>
                <w:b/>
                <w:bCs/>
                <w:color w:val="FFFFFF"/>
                <w:sz w:val="16"/>
                <w:szCs w:val="16"/>
              </w:rPr>
              <w:t xml:space="preserve">Count</w:t>
            </w:r>
          </w:p>
        </w:tc>
      </w:tr>
      <w:tr>
        <w:tc>
          <w:tcPr>
            <w:tcW w:type="dxa" w:w="25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r>
              <w:rPr>
                <w:b w:val="false"/>
                <w:bCs w:val="false"/>
                <w:color w:val="000000"/>
                <w:sz w:val="16"/>
                <w:szCs w:val="16"/>
              </w:rPr>
              <w:t xml:space="preserve">Total PDFs screened</w:t>
            </w:r>
          </w:p>
        </w:tc>
        <w:tc>
          <w:tcPr>
            <w:tcW w:type="dxa" w:w="25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r>
              <w:rPr>
                <w:b w:val="false"/>
                <w:bCs w:val="false"/>
                <w:color w:val="000000"/>
                <w:sz w:val="16"/>
                <w:szCs w:val="16"/>
              </w:rPr>
              <w:t xml:space="preserve">13</w:t>
            </w:r>
          </w:p>
        </w:tc>
      </w:tr>
      <w:tr>
        <w:tc>
          <w:tcPr>
            <w:tcW w:type="dxa" w:w="2500"/>
            <w:tcBorders>
              <w:top w:val="single" w:color="AAAAAA" w:sz="4"/>
              <w:left w:val="single" w:color="AAAAAA" w:sz="4"/>
              <w:bottom w:val="single" w:color="AAAAAA" w:sz="4"/>
              <w:right w:val="single" w:color="AAAAAA" w:sz="4"/>
            </w:tcBorders>
            <w:shd w:fill="D0F0C0" w:val="clear"/>
            <w:tcMar>
              <w:top w:type="dxa" w:w="60"/>
              <w:left w:type="dxa" w:w="80"/>
              <w:bottom w:type="dxa" w:w="60"/>
              <w:right w:type="dxa" w:w="80"/>
            </w:tcMar>
          </w:tcPr>
          <w:p>
            <w:r>
              <w:rPr>
                <w:b w:val="false"/>
                <w:bCs w:val="false"/>
                <w:color w:val="000000"/>
                <w:sz w:val="16"/>
                <w:szCs w:val="16"/>
              </w:rPr>
              <w:t xml:space="preserve">INCLUDED</w:t>
            </w:r>
          </w:p>
        </w:tc>
        <w:tc>
          <w:tcPr>
            <w:tcW w:type="dxa" w:w="2500"/>
            <w:tcBorders>
              <w:top w:val="single" w:color="AAAAAA" w:sz="4"/>
              <w:left w:val="single" w:color="AAAAAA" w:sz="4"/>
              <w:bottom w:val="single" w:color="AAAAAA" w:sz="4"/>
              <w:right w:val="single" w:color="AAAAAA" w:sz="4"/>
            </w:tcBorders>
            <w:shd w:fill="D0F0C0" w:val="clear"/>
            <w:tcMar>
              <w:top w:type="dxa" w:w="60"/>
              <w:left w:type="dxa" w:w="80"/>
              <w:bottom w:type="dxa" w:w="60"/>
              <w:right w:type="dxa" w:w="80"/>
            </w:tcMar>
          </w:tcPr>
          <w:p>
            <w:r>
              <w:rPr>
                <w:b/>
                <w:bCs/>
                <w:color w:val="000000"/>
                <w:sz w:val="16"/>
                <w:szCs w:val="16"/>
              </w:rPr>
              <w:t xml:space="preserve">13</w:t>
            </w:r>
          </w:p>
        </w:tc>
      </w:tr>
      <w:tr>
        <w:tc>
          <w:tcPr>
            <w:tcW w:type="dxa" w:w="25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r>
              <w:rPr>
                <w:b w:val="false"/>
                <w:bCs w:val="false"/>
                <w:color w:val="000000"/>
                <w:sz w:val="16"/>
                <w:szCs w:val="16"/>
              </w:rPr>
              <w:t xml:space="preserve">EXCLUDED</w:t>
            </w:r>
          </w:p>
        </w:tc>
        <w:tc>
          <w:tcPr>
            <w:tcW w:type="dxa" w:w="25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r>
              <w:rPr>
                <w:b w:val="false"/>
                <w:bCs w:val="false"/>
                <w:color w:val="000000"/>
                <w:sz w:val="16"/>
                <w:szCs w:val="16"/>
              </w:rPr>
              <w:t xml:space="preserve">0</w:t>
            </w:r>
          </w:p>
        </w:tc>
      </w:tr>
      <w:tr>
        <w:tc>
          <w:tcPr>
            <w:tcW w:type="dxa" w:w="2500"/>
            <w:tcBorders>
              <w:top w:val="single" w:color="AAAAAA" w:sz="4"/>
              <w:left w:val="single" w:color="AAAAAA" w:sz="4"/>
              <w:bottom w:val="single" w:color="AAAAAA" w:sz="4"/>
              <w:right w:val="single" w:color="AAAAAA" w:sz="4"/>
            </w:tcBorders>
            <w:shd w:fill="D0E8F0" w:val="clear"/>
            <w:tcMar>
              <w:top w:type="dxa" w:w="60"/>
              <w:left w:type="dxa" w:w="80"/>
              <w:bottom w:type="dxa" w:w="60"/>
              <w:right w:type="dxa" w:w="80"/>
            </w:tcMar>
          </w:tcPr>
          <w:p>
            <w:r>
              <w:rPr>
                <w:b w:val="false"/>
                <w:bCs w:val="false"/>
                <w:color w:val="000000"/>
                <w:sz w:val="16"/>
                <w:szCs w:val="16"/>
              </w:rPr>
              <w:t xml:space="preserve">Deep_Read = Yes</w:t>
            </w:r>
          </w:p>
        </w:tc>
        <w:tc>
          <w:tcPr>
            <w:tcW w:type="dxa" w:w="2500"/>
            <w:tcBorders>
              <w:top w:val="single" w:color="AAAAAA" w:sz="4"/>
              <w:left w:val="single" w:color="AAAAAA" w:sz="4"/>
              <w:bottom w:val="single" w:color="AAAAAA" w:sz="4"/>
              <w:right w:val="single" w:color="AAAAAA" w:sz="4"/>
            </w:tcBorders>
            <w:shd w:fill="D0E8F0" w:val="clear"/>
            <w:tcMar>
              <w:top w:type="dxa" w:w="60"/>
              <w:left w:type="dxa" w:w="80"/>
              <w:bottom w:type="dxa" w:w="60"/>
              <w:right w:type="dxa" w:w="80"/>
            </w:tcMar>
          </w:tcPr>
          <w:p>
            <w:r>
              <w:rPr>
                <w:b w:val="false"/>
                <w:bCs w:val="false"/>
                <w:color w:val="000000"/>
                <w:sz w:val="16"/>
                <w:szCs w:val="16"/>
              </w:rPr>
              <w:t xml:space="preserve">3 (P01, P02, P03)</w:t>
            </w:r>
          </w:p>
        </w:tc>
      </w:tr>
    </w:tbl>
    <w:p>
      <w:pPr>
        <w:spacing w:before="120" w:after="120"/>
      </w:pPr>
      <w:r>
        <w:t xml:space="preserve"/>
      </w:r>
    </w:p>
    <w:p>
      <w:pPr>
        <w:pStyle w:val="Heading2"/>
      </w:pPr>
      <w:r>
        <w:rPr>
          <w:b/>
          <w:bCs/>
          <w:color w:val="000000"/>
          <w:sz w:val="24"/>
          <w:szCs w:val="24"/>
        </w:rPr>
        <w:t xml:space="preserve">Stream Gap — Confirmed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FF8DC" w:val="clear"/>
            <w:tcMar>
              <w:top w:type="dxa" w:w="100"/>
              <w:left w:type="dxa" w:w="120"/>
              <w:bottom w:type="dxa" w:w="100"/>
              <w:right w:type="dxa" w:w="120"/>
            </w:tcMar>
          </w:tcPr>
          <w:p>
            <w:r>
              <w:rPr>
                <w:b w:val="false"/>
                <w:bCs w:val="false"/>
                <w:i w:val="false"/>
                <w:iCs w:val="false"/>
                <w:color w:val="000000"/>
                <w:sz w:val="18"/>
                <w:szCs w:val="18"/>
              </w:rPr>
              <w:t xml:space="preserve">While recursive partitioning and causal forest methods have established valid heterogeneous treatment effect estimation in clinical and survey settings, no study has applied these methods to large-scale development project databases (n&gt;10,000 projects) to test whether project design quality (QE) exerts heterogeneous effects on outcomes across project sectors, regions, and income groups — precisely the gap that Steve Brandon's OR=27.8 finding opens.</w:t>
            </w:r>
          </w:p>
        </w:tc>
      </w:tr>
    </w:tbl>
    <w:p>
      <w:pPr>
        <w:spacing w:before="120" w:after="120"/>
      </w:pPr>
      <w:r>
        <w:t xml:space="preserve"/>
      </w:r>
    </w:p>
    <w:p>
      <w:pPr>
        <w:pStyle w:val="Heading2"/>
      </w:pPr>
      <w:r>
        <w:rPr>
          <w:b/>
          <w:bCs/>
          <w:color w:val="000000"/>
          <w:sz w:val="24"/>
          <w:szCs w:val="24"/>
        </w:rPr>
        <w:t xml:space="preserve">Top 3 Forward Citations to 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AAAAAA" w:sz="4"/>
              <w:left w:val="single" w:color="AAAAAA" w:sz="4"/>
              <w:bottom w:val="single" w:color="AAAAAA" w:sz="4"/>
              <w:right w:val="single" w:color="AAAAAA" w:sz="4"/>
            </w:tcBorders>
            <w:shd w:fill="1F6B75" w:val="clear"/>
            <w:tcMar>
              <w:top w:type="dxa" w:w="60"/>
              <w:left w:type="dxa" w:w="80"/>
              <w:bottom w:type="dxa" w:w="60"/>
              <w:right w:type="dxa" w:w="80"/>
            </w:tcMar>
          </w:tcPr>
          <w:p>
            <w:r>
              <w:rPr>
                <w:b/>
                <w:bCs/>
                <w:color w:val="FFFFFF"/>
                <w:sz w:val="16"/>
                <w:szCs w:val="16"/>
              </w:rPr>
              <w:t xml:space="preserve">#</w:t>
            </w:r>
          </w:p>
        </w:tc>
        <w:tc>
          <w:tcPr>
            <w:tcW w:type="dxa" w:w="8960"/>
            <w:tcBorders>
              <w:top w:val="single" w:color="AAAAAA" w:sz="4"/>
              <w:left w:val="single" w:color="AAAAAA" w:sz="4"/>
              <w:bottom w:val="single" w:color="AAAAAA" w:sz="4"/>
              <w:right w:val="single" w:color="AAAAAA" w:sz="4"/>
            </w:tcBorders>
            <w:shd w:fill="1F6B75" w:val="clear"/>
            <w:tcMar>
              <w:top w:type="dxa" w:w="60"/>
              <w:left w:type="dxa" w:w="80"/>
              <w:bottom w:type="dxa" w:w="60"/>
              <w:right w:type="dxa" w:w="80"/>
            </w:tcMar>
          </w:tcPr>
          <w:p>
            <w:r>
              <w:rPr>
                <w:b/>
                <w:bCs/>
                <w:color w:val="FFFFFF"/>
                <w:sz w:val="16"/>
                <w:szCs w:val="16"/>
              </w:rPr>
              <w:t xml:space="preserve">Citation | Why | Action</w:t>
            </w:r>
          </w:p>
        </w:tc>
      </w:tr>
      <w:tr>
        <w:tc>
          <w:tcPr>
            <w:tcW w:type="dxa" w:w="400"/>
            <w:tcBorders>
              <w:top w:val="single" w:color="AAAAAA" w:sz="4"/>
              <w:left w:val="single" w:color="AAAAAA" w:sz="4"/>
              <w:bottom w:val="single" w:color="AAAAAA" w:sz="4"/>
              <w:right w:val="single" w:color="AAAAAA" w:sz="4"/>
            </w:tcBorders>
            <w:shd w:fill="1F6B75" w:val="clear"/>
            <w:tcMar>
              <w:top w:type="dxa" w:w="60"/>
              <w:left w:type="dxa" w:w="80"/>
              <w:bottom w:type="dxa" w:w="60"/>
              <w:right w:type="dxa" w:w="80"/>
            </w:tcMar>
          </w:tcPr>
          <w:p>
            <w:r>
              <w:rPr>
                <w:b/>
                <w:bCs/>
                <w:color w:val="000000"/>
                <w:sz w:val="16"/>
                <w:szCs w:val="16"/>
              </w:rPr>
              <w:t xml:space="preserve">#1</w:t>
            </w:r>
          </w:p>
        </w:tc>
        <w:tc>
          <w:tcPr>
            <w:tcW w:type="dxa" w:w="896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before="0" w:after="40"/>
            </w:pPr>
            <w:r>
              <w:rPr>
                <w:b/>
                <w:bCs/>
                <w:color w:val="000000"/>
                <w:sz w:val="16"/>
                <w:szCs w:val="16"/>
              </w:rPr>
              <w:t xml:space="preserve">Wager, S. &amp; Athey, S. (2018). Estimation and Inference of Heterogeneous Treatment Effects Using Random Forests. Journal of the American Statistical Association, 113(523), 1228–1242.</w:t>
            </w:r>
          </w:p>
          <w:p>
            <w:pPr>
              <w:spacing w:before="0" w:after="40"/>
            </w:pPr>
            <w:r>
              <w:rPr>
                <w:color w:val="444444"/>
                <w:sz w:val="15"/>
                <w:szCs w:val="15"/>
              </w:rPr>
              <w:t xml:space="preserve">WHY: Provides the causal forest (grf package) method that extends Athey &amp; Imbens (2016) causal trees to ensemble estimation with asymptotic normality guarantees. Essential for applying HTE to 12,328 WB projects at scale. Cited in all 13 papers in this stream.</w:t>
            </w:r>
          </w:p>
          <w:p>
            <w:pPr>
              <w:spacing w:before="0" w:after="0"/>
            </w:pPr>
            <w:r>
              <w:rPr>
                <w:i/>
                <w:iCs/>
                <w:color w:val="1F6B75"/>
                <w:sz w:val="15"/>
                <w:szCs w:val="15"/>
              </w:rPr>
              <w:t xml:space="preserve">ACTION: Download and apply grf package to WB project data; estimate CATE as function of QE score controlling for sector, region, lending instrument.</w:t>
            </w:r>
          </w:p>
        </w:tc>
      </w:tr>
      <w:tr>
        <w:tc>
          <w:tcPr>
            <w:tcW w:type="dxa" w:w="400"/>
            <w:tcBorders>
              <w:top w:val="single" w:color="AAAAAA" w:sz="4"/>
              <w:left w:val="single" w:color="AAAAAA" w:sz="4"/>
              <w:bottom w:val="single" w:color="AAAAAA" w:sz="4"/>
              <w:right w:val="single" w:color="AAAAAA" w:sz="4"/>
            </w:tcBorders>
            <w:shd w:fill="1F6B75" w:val="clear"/>
            <w:tcMar>
              <w:top w:type="dxa" w:w="60"/>
              <w:left w:type="dxa" w:w="80"/>
              <w:bottom w:type="dxa" w:w="60"/>
              <w:right w:type="dxa" w:w="80"/>
            </w:tcMar>
          </w:tcPr>
          <w:p>
            <w:r>
              <w:rPr>
                <w:b/>
                <w:bCs/>
                <w:color w:val="000000"/>
                <w:sz w:val="16"/>
                <w:szCs w:val="16"/>
              </w:rPr>
              <w:t xml:space="preserve">#2</w:t>
            </w:r>
          </w:p>
        </w:tc>
        <w:tc>
          <w:tcPr>
            <w:tcW w:type="dxa" w:w="896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before="0" w:after="40"/>
            </w:pPr>
            <w:r>
              <w:rPr>
                <w:b/>
                <w:bCs/>
                <w:color w:val="000000"/>
                <w:sz w:val="16"/>
                <w:szCs w:val="16"/>
              </w:rPr>
              <w:t xml:space="preserve">Athey, S., Tibshirani, J. &amp; Wager, S. (2019). Generalized Random Forests. Annals of Statistics, 47(2), 1148–1178.</w:t>
            </w:r>
          </w:p>
          <w:p>
            <w:pPr>
              <w:spacing w:before="0" w:after="40"/>
            </w:pPr>
            <w:r>
              <w:rPr>
                <w:color w:val="444444"/>
                <w:sz w:val="15"/>
                <w:szCs w:val="15"/>
              </w:rPr>
              <w:t xml:space="preserve">WHY: Unifies causal forests, quantile regression forests, and local linear forests under a single framework. Provides the 'grf' R package implementation. Extends HTE estimation to non-binary treatments and multiple outcomes — directly applicable to WB project sectoral heterogeneity.</w:t>
            </w:r>
          </w:p>
          <w:p>
            <w:pPr>
              <w:spacing w:before="0" w:after="0"/>
            </w:pPr>
            <w:r>
              <w:rPr>
                <w:i/>
                <w:iCs/>
                <w:color w:val="1F6B75"/>
                <w:sz w:val="15"/>
                <w:szCs w:val="15"/>
              </w:rPr>
              <w:t xml:space="preserve">ACTION: Use generalized causal forests to estimate heterogeneous QE effects across sectors; run best_linear_projection() for CATE summary.</w:t>
            </w:r>
          </w:p>
        </w:tc>
      </w:tr>
      <w:tr>
        <w:tc>
          <w:tcPr>
            <w:tcW w:type="dxa" w:w="400"/>
            <w:tcBorders>
              <w:top w:val="single" w:color="AAAAAA" w:sz="4"/>
              <w:left w:val="single" w:color="AAAAAA" w:sz="4"/>
              <w:bottom w:val="single" w:color="AAAAAA" w:sz="4"/>
              <w:right w:val="single" w:color="AAAAAA" w:sz="4"/>
            </w:tcBorders>
            <w:shd w:fill="1F6B75" w:val="clear"/>
            <w:tcMar>
              <w:top w:type="dxa" w:w="60"/>
              <w:left w:type="dxa" w:w="80"/>
              <w:bottom w:type="dxa" w:w="60"/>
              <w:right w:type="dxa" w:w="80"/>
            </w:tcMar>
          </w:tcPr>
          <w:p>
            <w:r>
              <w:rPr>
                <w:b/>
                <w:bCs/>
                <w:color w:val="000000"/>
                <w:sz w:val="16"/>
                <w:szCs w:val="16"/>
              </w:rPr>
              <w:t xml:space="preserve">#3</w:t>
            </w:r>
          </w:p>
        </w:tc>
        <w:tc>
          <w:tcPr>
            <w:tcW w:type="dxa" w:w="896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before="0" w:after="40"/>
            </w:pPr>
            <w:r>
              <w:rPr>
                <w:b/>
                <w:bCs/>
                <w:color w:val="000000"/>
                <w:sz w:val="16"/>
                <w:szCs w:val="16"/>
              </w:rPr>
              <w:t xml:space="preserve">Chernozhukov, V., Chetverikov, D., Demirer, M., et al. (2018). Double/Debiased Machine Learning for Treatment and Structural Parameters. Econometrics Journal, 21(1), C1–C68.</w:t>
            </w:r>
          </w:p>
          <w:p>
            <w:pPr>
              <w:spacing w:before="0" w:after="40"/>
            </w:pPr>
            <w:r>
              <w:rPr>
                <w:color w:val="444444"/>
                <w:sz w:val="15"/>
                <w:szCs w:val="15"/>
              </w:rPr>
              <w:t xml:space="preserve">WHY: DML provides orthogonalized (Neyman-orthogonal) treatment effect estimation that is robust to machine learning overfitting in the nuisance functions (propensity score, outcome model). Critical for valid inference in large WB project dataset with many confounders. Cited in causal inference literature and directly bridges ML + econometrics.</w:t>
            </w:r>
          </w:p>
          <w:p>
            <w:pPr>
              <w:spacing w:before="0" w:after="0"/>
            </w:pPr>
            <w:r>
              <w:rPr>
                <w:i/>
                <w:iCs/>
                <w:color w:val="1F6B75"/>
                <w:sz w:val="15"/>
                <w:szCs w:val="15"/>
              </w:rPr>
              <w:t xml:space="preserve">ACTION: Apply DML to estimate average QE effect controlling for project characteristics; use as robustness check against causal forest CATE.</w:t>
            </w:r>
          </w:p>
        </w:tc>
      </w:tr>
    </w:tbl>
    <w:p>
      <w:pPr>
        <w:spacing w:before="120" w:after="120"/>
      </w:pPr>
      <w:r>
        <w:t xml:space="preserve"/>
      </w:r>
    </w:p>
    <w:p>
      <w:pPr>
        <w:pStyle w:val="Heading2"/>
      </w:pPr>
      <w:r>
        <w:rPr>
          <w:b/>
          <w:bCs/>
          <w:color w:val="000000"/>
          <w:sz w:val="24"/>
          <w:szCs w:val="24"/>
        </w:rPr>
        <w:t xml:space="preserve">Copy-Paste Ready Output for Synthesis Project</w:t>
      </w:r>
    </w:p>
    <w:p>
      <w:pPr>
        <w:spacing w:before="80" w:after="80"/>
      </w:pPr>
      <w:r>
        <w:rPr>
          <w:b/>
          <w:bCs/>
          <w:color w:val="444444"/>
          <w:sz w:val="17"/>
          <w:szCs w:val="17"/>
        </w:rPr>
        <w:t xml:space="preserve">Suggested paragraph for Brandon (2026) PhD thesis literature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5F5DC" w:val="clear"/>
            <w:tcMar>
              <w:top w:type="dxa" w:w="120"/>
              <w:left w:type="dxa" w:w="140"/>
              <w:bottom w:type="dxa" w:w="120"/>
              <w:right w:type="dxa" w:w="140"/>
            </w:tcMar>
          </w:tcPr>
          <w:p>
            <w:r>
              <w:rPr>
                <w:color w:val="000000"/>
                <w:sz w:val="17"/>
                <w:szCs w:val="17"/>
              </w:rPr>
              <w:t xml:space="preserve">A growing literature establishes that treatment effects in complex intervention environments are heterogeneous rather than uniform, and that recursive partitioning methods provide valid, data-driven approaches to identifying this heterogeneity. Athey and Imbens (2016) introduced the foundational causal tree framework, demonstrating that an "honest" estimation procedure — using separate sample splits for tree construction and leaf-level effect estimation — achieves nominal confidence interval coverage without sparsity assumptions. Their simulation results show 90% coverage for honest causal trees versus 74–84% for conventional adaptive estimation. Su et al. (2009) extended CART-based recursive partitioning to an interaction tree (IT) procedure expressly designed to detect treatment effect heterogeneity across subgroups in comparative studies, demonstrating qualitative treatment-effect interactions in wage data. Subsequent theoretical work by Cattaneo, Klusowski and Tian (2024) shows that individual decision trees fail to achieve polynomial convergence rates in uniform norm even with pruning, establishing that causal forests — which ensemble individual honest trees via subsampling and random feature selection — are necessary for reliable pointwise CATE estimation. Applied literature in precision medicine (Seibold, Zeileis &amp; Hothorn, 2016; Clement, 2024) confirms that model-based recursive partitioning successfully identifies interpretable subgroups with differential treatment responses in complex real-world data. Robust variants with uncertainty quantification (NeurIPS, 2020) address the coverage gaps in settings with model misspecification. Despite this methodological richness, no study has applied causal forest or interaction tree methods to large-scale development project databases (n &gt; 10,000) to examine whether project design quality (QE) heterogeneously predicts outcomes across sectors, regions, and income groups. This gap motivates the research design of the present study.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1F6B75"/>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000000"/>
      <w:sz w:val="26"/>
      <w:szCs w:val="26"/>
    </w:rPr>
  </w:style>
  <w:style w:type="paragraph" w:styleId="Heading3">
    <w:name w:val="Heading 3"/>
    <w:basedOn w:val="Normal"/>
    <w:next w:val="Normal"/>
    <w:qFormat/>
    <w:pPr>
      <w:spacing w:before="180" w:after="10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2026-02-23T02:58:28.073Z</dcterms:created>
  <dcterms:modified xsi:type="dcterms:W3CDTF">2026-02-23T02:58:28.074Z</dcterms:modified>
</cp:coreProperties>
</file>

<file path=docProps/custom.xml><?xml version="1.0" encoding="utf-8"?>
<Properties xmlns="http://schemas.openxmlformats.org/officeDocument/2006/custom-properties" xmlns:vt="http://schemas.openxmlformats.org/officeDocument/2006/docPropsVTypes"/>
</file>