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spacing w:after="200"/>
        <w:jc w:val="center"/>
      </w:pPr>
      <w:r>
        <w:rPr>
          <w:rFonts w:ascii="Arial" w:cs="Arial" w:eastAsia="Arial" w:hAnsi="Arial"/>
          <w:b/>
          <w:bCs/>
          <w:color w:val="1F4E79"/>
          <w:sz w:val="44"/>
          <w:szCs w:val="44"/>
        </w:rPr>
        <w:t xml:space="preserve">INFRASTRUCTURE COST OVERRUN</w:t>
      </w:r>
    </w:p>
    <w:p>
      <w:pPr>
        <w:spacing w:after="200"/>
        <w:jc w:val="center"/>
      </w:pPr>
      <w:r>
        <w:rPr>
          <w:rFonts w:ascii="Arial" w:cs="Arial" w:eastAsia="Arial" w:hAnsi="Arial"/>
          <w:b w:val="false"/>
          <w:bCs w:val="false"/>
          <w:color w:val="2E75B6"/>
          <w:sz w:val="28"/>
          <w:szCs w:val="28"/>
        </w:rPr>
        <w:t xml:space="preserve">Systematic Literature Review — Stream Coding Output</w:t>
      </w:r>
    </w:p>
    <w:p>
      <w:pPr>
        <w:spacing w:after="400"/>
        <w:jc w:val="center"/>
      </w:pPr>
      <w:r>
        <w:rPr>
          <w:rFonts w:ascii="Arial" w:cs="Arial" w:eastAsia="Arial" w:hAnsi="Arial"/>
          <w:color w:val="595959"/>
          <w:sz w:val="22"/>
          <w:szCs w:val="22"/>
        </w:rPr>
        <w:t xml:space="preserve">PhD Research: Brandon, S. (QUT/Griffith) | February 2026</w:t>
      </w:r>
    </w:p>
    <w:p>
      <w:pPr>
        <w:pBdr>
          <w:bottom w:val="single" w:color="1F4E79" w:sz="6" w:space="1"/>
        </w:pBdr>
        <w:spacing w:after="400"/>
      </w:pPr>
      <w:r>
        <w:t xml:space="preserve"/>
      </w:r>
    </w:p>
    <w:p>
      <w:r>
        <w:rPr>
          <w:sz w:val="20"/>
          <w:szCs w:val="20"/>
        </w:rPr>
        <w:t xml:space="preserve"/>
      </w:r>
    </w:p>
    <w:p>
      <w:pPr>
        <w:pStyle w:val="Heading1"/>
      </w:pPr>
      <w:r>
        <w:rPr>
          <w:rFonts w:ascii="Arial" w:cs="Arial" w:eastAsia="Arial" w:hAnsi="Arial"/>
          <w:b/>
          <w:bCs/>
          <w:color w:val="1F4E79"/>
          <w:sz w:val="32"/>
          <w:szCs w:val="32"/>
        </w:rPr>
        <w:t xml:space="preserve">STEP 1 — INCLUSION SCREEN SUMMARY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tcPr>
          <w:p>
            <w:r>
              <w:rPr>
                <w:rFonts w:ascii="Arial" w:cs="Arial" w:eastAsia="Arial" w:hAnsi="Arial"/>
                <w:b/>
                <w:bCs/>
                <w:sz w:val="20"/>
                <w:szCs w:val="20"/>
              </w:rPr>
              <w:t xml:space="preserve">PDFs screened</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tcPr>
          <w:p>
            <w:r>
              <w:rPr>
                <w:rFonts w:ascii="Arial" w:cs="Arial" w:eastAsia="Arial" w:hAnsi="Arial"/>
                <w:b/>
                <w:bCs/>
                <w:sz w:val="20"/>
                <w:szCs w:val="20"/>
              </w:rPr>
              <w:t xml:space="preserve">Included (n)</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6400"/>
                <w:sz w:val="20"/>
                <w:szCs w:val="20"/>
              </w:rPr>
              <w:t xml:space="preserve">3 (ICO-01, ICO-02, ICO-03)</w:t>
            </w:r>
          </w:p>
        </w:tc>
      </w:tr>
      <w:tr>
        <w:tc>
          <w:tcPr>
            <w:tcW w:type="dxa" w:w="35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tcPr>
          <w:p>
            <w:r>
              <w:rPr>
                <w:rFonts w:ascii="Arial" w:cs="Arial" w:eastAsia="Arial" w:hAnsi="Arial"/>
                <w:b/>
                <w:bCs/>
                <w:sz w:val="20"/>
                <w:szCs w:val="20"/>
              </w:rPr>
              <w:t xml:space="preserve">Excluded (n)</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C00000"/>
                <w:sz w:val="20"/>
                <w:szCs w:val="20"/>
              </w:rPr>
              <w:t xml:space="preserve">5 (see excluded records below)</w:t>
            </w:r>
          </w:p>
        </w:tc>
      </w:tr>
      <w:tr>
        <w:tc>
          <w:tcPr>
            <w:tcW w:type="dxa" w:w="35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tcPr>
          <w:p>
            <w:r>
              <w:rPr>
                <w:rFonts w:ascii="Arial" w:cs="Arial" w:eastAsia="Arial" w:hAnsi="Arial"/>
                <w:b/>
                <w:bCs/>
                <w:sz w:val="20"/>
                <w:szCs w:val="20"/>
              </w:rPr>
              <w:t xml:space="preserve">Deep Read = Yes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(all included papers)</w:t>
            </w:r>
          </w:p>
        </w:tc>
      </w:tr>
    </w:tbl>
    <w:p>
      <w:r>
        <w:rPr>
          <w:sz w:val="20"/>
          <w:szCs w:val="20"/>
        </w:rPr>
        <w:t xml:space="preserve"/>
      </w:r>
    </w:p>
    <w:p>
      <w:r>
        <w:rPr>
          <w:sz w:val="20"/>
          <w:szCs w:val="20"/>
        </w:rPr>
        <w:t xml:space="preserve"/>
      </w:r>
    </w:p>
    <w:p>
      <w:pPr>
        <w:pStyle w:val="Heading1"/>
      </w:pPr>
      <w:r>
        <w:rPr>
          <w:rFonts w:ascii="Arial" w:cs="Arial" w:eastAsia="Arial" w:hAnsi="Arial"/>
          <w:b/>
          <w:bCs/>
          <w:color w:val="1F4E79"/>
          <w:sz w:val="32"/>
          <w:szCs w:val="32"/>
        </w:rPr>
        <w:t xml:space="preserve">TAB B — DEEP READ RECORDS (All 3 Included Papers)</w:t>
      </w:r>
    </w:p>
    <w:p>
      <w:pPr>
        <w:spacing w:after="120"/>
      </w:pPr>
      <w:r>
        <w:rPr>
          <w:rFonts w:ascii="Arial" w:cs="Arial" w:eastAsia="Arial" w:hAnsi="Arial"/>
          <w:b w:val="false"/>
          <w:bCs w:val="false"/>
          <w:color w:val="595959"/>
          <w:sz w:val="18"/>
          <w:szCs w:val="18"/>
        </w:rPr>
        <w:t xml:space="preserve">Tab B provides detailed methodological coding for each Deep_Read=Yes paper. Each record maps model specification, identification strategy, bias acknowledgements, and the specific advance your study makes over the reviewed paper.</w:t>
      </w:r>
    </w:p>
    <w:p>
      <w:r>
        <w:rPr>
          <w:sz w:val="20"/>
          <w:szCs w:val="20"/>
        </w:rPr>
        <w:t xml:space="preserve"/>
      </w:r>
    </w:p>
    <w:p>
      <w:pPr>
        <w:pStyle w:val="Heading2"/>
      </w:pPr>
      <w:r>
        <w:rPr>
          <w:rFonts w:ascii="Arial" w:cs="Arial" w:eastAsia="Arial" w:hAnsi="Arial"/>
          <w:b/>
          <w:bCs/>
          <w:color w:val="2E75B6"/>
          <w:sz w:val="26"/>
          <w:szCs w:val="26"/>
        </w:rPr>
        <w:t xml:space="preserve">ICO-01 | Eliasson (2025) — Tab B Deep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Paper_ID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ICO-01</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Authors_Year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Eliasson (2025)</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Model_Specification</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Descriptive statistics and distributional analysis of cost escalation (initial plan → decision-to-build) and cost overrun (decision-to-build → final cost). No formal regression model. Case study classification uses systematic coding of interview and document evidence.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Identification_Strategy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Follows all projects in Swedish national investment plans (2010–2022), tracking costs longitudinally. Reduces selection bias by including cancelled and modified projects. Compares two baselines: initial plan inclusion vs. decision-to-build.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Control_Variables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Project type (road, rail); project phase; project size. No multivariate regression controls used.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Fixed_Effects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None (descriptive/distributional study)</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Standard_Errors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Not applicable (no regression); confidence intervals not reported for distributions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Main_Coefficient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single coefficient. Key finding: mean cost escalation in planning stage substantially positive; distribution right-skewed with mode near zero; late-stage (decision-to-build) estimates not systematically biased vs. final costs.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Robustness_Tests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Comparison using two different baseline definitions (Trafikverket vs. Riksrevisionen); produces substantially different overrun magnitudes. Case study corroboration of distributional findings.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Bias_Acknowledged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Acknowledges selection bias (projects not cancelled may be systematically different); acknowledges that the choice of baseline (early vs. late estimate) is consequential and contested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Bias_NOT_Addressed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 adjustment for selection or attrition bias in distributional statistics; no counterfactual for what costs would have been under different planning processes; interview sample not random</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Data_Source_Detail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Trafikverket (Swedish Transport Administration) administrative cost tracking data; national investment plans 2010–2022; projects finalized 2004–2022. Data not fully public (requires Trafikverket access).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Sample_Restrictions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Swedish infrastructure projects only; national investment plans only (excludes local/regional plans); completed projects only for final cost comparisons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Cross_Institution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 single country (Sweden), single administrative system</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Heterogeneity_Tests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Distributional analysis by project type (road vs. rail); by planning stage; by size. No formal heterogeneity tests (no regression).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Your_Advance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Your study adds: (1) a causal mechanism linking front-end design quality (QE) to cost outcomes via regression across 12,328 World Bank projects; (2) cross-institutional and cross-country variation; (3) a formal OR statistic (27.8) quantifying the predictive power of QE on outcomes, which Eliasson identifies as theoretically needed but never tests.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Quote_For_Paper</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"Lock-in of premature decisions does not only cause cost overruns; even worse, it distorts project selection and design, reduces incentives to search for more cost-efficient designs, and increases opportunities and incentives for project beneficiaries to underestimate costs and over-estimate benefits."</w:t>
            </w:r>
          </w:p>
        </w:tc>
      </w:tr>
    </w:tbl>
    <w:p>
      <w:r>
        <w:rPr>
          <w:sz w:val="20"/>
          <w:szCs w:val="20"/>
        </w:rPr>
        <w:t xml:space="preserve"/>
      </w:r>
    </w:p>
    <w:p>
      <w:pPr>
        <w:pStyle w:val="Heading2"/>
      </w:pPr>
      <w:r>
        <w:rPr>
          <w:rFonts w:ascii="Arial" w:cs="Arial" w:eastAsia="Arial" w:hAnsi="Arial"/>
          <w:b/>
          <w:bCs/>
          <w:color w:val="2E75B6"/>
          <w:sz w:val="26"/>
          <w:szCs w:val="26"/>
        </w:rPr>
        <w:t xml:space="preserve">ICO-02 | Flyvbjerg &amp; Bester (2022) — Tab B Deep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Paper_ID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ICO-02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Authors_Year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Flyvbjerg &amp; Bester (2022)</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Model_Specification</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Statistical tests of null hypothesis that cost-benefit forecasts are unbiased. Tests include: one-sample t-tests (forecast error = 0); Mann-Whitney non-parametric tests; Bayesian modeling to test robustness across type, geography, and time. Full sample (n=2,062) and subsample (n=327) analyzed separately.</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Identification_Strategy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Observational study; no causal identification strategy. Tests are descriptive of forecast errors in a convenience sample. Authors acknowledge conservatism bias (better-managed projects more likely to have data).</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Control_Variables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Investment type (8 categories); geography (continental dummies); time period (decade). Treated as stratification variables in Bayesian model, not formal controls in a causal model.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Fixed_Effects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None in primary analysis; Bayesian model conditions on type/geography/time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Standard_Errors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Standard errors not reported for descriptive statistics; p-values from conventional t-tests and Mann-Whitney; Bayesian model provides posterior distributions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Main_Coefficient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Average cost overrun: 39–79% depending on type. Benefit shortfall (demand): varies. Overestimate of benefit-cost ratio: 50–200% depending on type. All statistically significant at p&lt;0.0001.</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Robustness_Tests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Full sample vs. subsample (n=327) yields consistent results; conventional vs. Bayesian testing yields consistent conclusions; no significant differences across type/geography/time (none reverse main finding).</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Bias_Acknowledged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Acknowledges availability/conservatism bias: data from badly-performing investments often not released; well-managed projects over-represented. Acknowledges that results are therefore conservative (true population bias likely larger).</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Bias_NOT_Addressed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 correction for survivorship/selection bias in published estimates; no project preparation or design quality variable included; cannot decompose overruns into front-end vs. execution causes; no panel or fixed-effects structure to control for unobservables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Data_Source_Detail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Flyvbjerg database: 2,062 infrastructure investments across 8 types (roads, bridges, tunnels, rail, ports, BRT, fixed links, buildings), global. Assembled over 20+ years. Not fully public; data described but not deposited openly.</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Sample_Restrictions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Data availability criterion only (no random sampling). Likely over-represents OECD/high-income countries and larger projects. Excludes projects without comparable ex-ante and ex-post cost/demand data.</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Cross_Institution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Partly – multiple countries and project types, but not systematically comparing institutions. No institutional-quality variable included.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Heterogeneity_Tests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Formal testing: Bayesian model finds few significant differences across type, geography, time. However, point estimates vary substantially (e.g., cost overrun 39% for roads, 79% for rail); no regression decomposition of this variation.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Your_Advance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Your study adds: (1) project preparation quality (QE) as an explicit predictor variable that Flyvbjerg cannot include; (2) a development project context (World Bank) with richer institutional variation; (3) OR=27.8 demonstrating QE's predictive power for outcomes, directly responding to Flyvbjerg's call for 'getting decisions right' at the front end; (4) causal language supported by logistic regression.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Quote_For_Paper</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"The root cause of cost underestimates and overruns, according to behavioral science, is the well-documented fact that planners and managers keep underestimating the importance of schedules, geology, market prices, scope changes, and complexity in investment after investment."</w:t>
            </w:r>
          </w:p>
        </w:tc>
      </w:tr>
    </w:tbl>
    <w:p>
      <w:r>
        <w:rPr>
          <w:sz w:val="20"/>
          <w:szCs w:val="20"/>
        </w:rPr>
        <w:t xml:space="preserve"/>
      </w:r>
    </w:p>
    <w:p>
      <w:pPr>
        <w:pStyle w:val="Heading2"/>
      </w:pPr>
      <w:r>
        <w:rPr>
          <w:rFonts w:ascii="Arial" w:cs="Arial" w:eastAsia="Arial" w:hAnsi="Arial"/>
          <w:b/>
          <w:bCs/>
          <w:color w:val="2E75B6"/>
          <w:sz w:val="26"/>
          <w:szCs w:val="26"/>
        </w:rPr>
        <w:t xml:space="preserve">ICO-03 | Välilä (2024) — Tab B Deep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Paper_ID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ICO-03</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Authors_Year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Välilä (2024)</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Model_Specification</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Quantitative narrative synthesis of existing empirical literature. No primary regression. Synthesizes: (1) Flyvbjerg database analyses (up to 2,062 projects); (2) surveys of ex-post CBA samples (≥10 projects per survey); (3) six meta-analyses of infrastructure–growth relationship. Presents summary statistics from reviewed studies.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Identification_Strategy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Review paper; identification relies on primary studies reviewed. Author critically assesses identification strategies in each study, noting limitations in causal inference from the Flyvbjerg database (lack of CBA components, no counterfactual).</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Control_Variables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Not applicable (review). Primary studies reviewed use varying controls.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Fixed_Effects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 applicable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Standard_Errors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Not applicable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Main_Coefficient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Key quantitative finding from review: Flyvbjerg &amp; Bester (2021) report average overestimate of benefit-cost ratios 50–200%; ex-post CBAs show generally positive returns despite construction cost overruns; meta-analyses of infrastructure-growth relationship show positive but declining elasticities.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Robustness_Tests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Not applicable (review paper). Author notes that reviewed meta-analyses show consistent findings despite different methodologies.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Bias_Acknowledged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Explicitly critiques Flyvbjerg database for: inability to draw welfare conclusions from forecast errors; missing lifecycle costs and benefits; traffic volume as imperfect benefit proxy; selection bias. Also acknowledges that ex-post CBAs have their own limitations (sample availability, methodological heterogeneity).</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Bias_NOT_Addressed</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Does not propose or test a correction; does not identify what project-level variables explain variation in ex-post CBA performance vs. ex-ante forecasts; literature gap on moderating variables (including design quality) is not empirically filled</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Data_Source_Detail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Secondary – draws on Flyvbjerg database studies; Wang &amp; Levinson (2023) survey of ex-post CBA surveys; 6 infrastructure-growth meta-analyses. No primary data collection.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Sample_Restrictions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Includes only surveys of ex-post CBAs with ≥10 projects (per Wang &amp; Levinson criterion). Focus on transport infrastructure. Does not cover development-bank-financed projects specifically.</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Cross_Institution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Implicitly multi-country via reviewed studies; no formal institutional comparison. Notes EIB affiliation of author.</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Heterogeneity_Tests</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Discusses heterogeneity across project types, countries, and time horizons in narrative form; notes meta-analyses find declining marginal productivity of infrastructure at higher stock levels (heterogeneity in growth impacts).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Your_Advance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Your study adds: (1) a direct empirical test of whether a moderating variable (QE) explains variation in project outcomes that Välilä identifies as missing; (2) a development-bank context spanning 12,328 projects across multiple countries and sectors; (3) a specific causal claim (OR=27.8) linking front-end quality to outcomes that bridges the project-level/aggregate paradox Välilä discusses.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Quote_For_Paper</w:t>
            </w:r>
          </w:p>
        </w:tc>
        <w:tc>
          <w:tcPr>
            <w:tcW w:type="dxa" w:w="73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sz w:val="18"/>
                <w:szCs w:val="18"/>
              </w:rPr>
              <w:t xml:space="preserve">"To estimate the social welfare consequences of transport infrastructure projects conclusively, it is necessary to carry out ex post CBAs of them… [T]he scope for drawing conclusions about the longer-term and wider economic impact of transport infrastructure investment projects based on the [Flyvbjerg] database is [limited]."</w:t>
            </w:r>
          </w:p>
        </w:tc>
      </w:tr>
    </w:tbl>
    <w:p>
      <w:r>
        <w:rPr>
          <w:sz w:val="20"/>
          <w:szCs w:val="20"/>
        </w:rPr>
        <w:t xml:space="preserve"/>
      </w:r>
    </w:p>
    <w:p>
      <w:r>
        <w:rPr>
          <w:sz w:val="20"/>
          <w:szCs w:val="20"/>
        </w:rPr>
        <w:t xml:space="preserve"/>
      </w:r>
    </w:p>
    <w:p>
      <w:pPr>
        <w:pStyle w:val="Heading1"/>
      </w:pPr>
      <w:r>
        <w:rPr>
          <w:rFonts w:ascii="Arial" w:cs="Arial" w:eastAsia="Arial" w:hAnsi="Arial"/>
          <w:b/>
          <w:bCs/>
          <w:color w:val="1F4E79"/>
          <w:sz w:val="32"/>
          <w:szCs w:val="32"/>
        </w:rPr>
        <w:t xml:space="preserve">STEP 4 — STREAM SUMMARY</w:t>
      </w:r>
    </w:p>
    <w:p>
      <w:r>
        <w:rPr>
          <w:sz w:val="20"/>
          <w:szCs w:val="20"/>
        </w:rPr>
        <w:t xml:space="preserve"/>
      </w:r>
    </w:p>
    <w:p>
      <w:pPr>
        <w:spacing w:after="120"/>
      </w:pPr>
      <w:r>
        <w:rPr>
          <w:rFonts w:ascii="Arial" w:cs="Arial" w:eastAsia="Arial" w:hAnsi="Arial"/>
          <w:b/>
          <w:bCs/>
          <w:color w:val="000000"/>
          <w:sz w:val="20"/>
          <w:szCs w:val="20"/>
        </w:rPr>
        <w:t xml:space="preserve">n included: 3  |  n excluded: 5</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 Gap (one sentence)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The infrastructure cost overrun literature has comprehensively documented that project-level cost and benefit forecasts are systematically biased and inaccurate at massive scale (n=2,062; p&lt;0.0001), and has identified premature lock-in of front-end decisions as the root cause, but no study has yet included a direct measure of project preparation or design quality as a predictor variable — leaving unexplained why some projects within the same population escape overrun while others do not, a gap that OR=27.8 across 12,328 World Bank projects now closes.</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Forward Citation 1 (Chase)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Chapman, P. (2024a &amp; 2024b) — 'Project delivery performance: Insights from English roads major schemes' (Project Leadership and Society, 5) AND 'Revisiting project delivery performance: Evidence from Swedish transport infrastructure' (Project Management Journal, 55(6), 1–19). Both cited by Eliasson (2025) as showing late-stage estimates are not systematically biased. Search for forward citations to these to find papers testing front-end quality as a predictor of performance.</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Forward Citation 2 (Chase)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Welde, M., &amp; Klakegg, O.J. (2022) — 'Avoiding cost overrun through stochastic cost estimation and external quality assurance' (IEEE Trans. Eng. Manag., 71, 1984–1997). Tests whether quality assurance (QA) interventions at the front end reduce cost overruns in Norwegian road projects — closest existing empirical analogue to QE thesis; forward citations will surface papers testing similar QA/preparation-quality predictors.</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Forward Citation 3 (Chase)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Välilä, T. (2024) — 'Forecast errors and welfare conclusions based on the Flyvbjerg database' (Journal of Benefit-Cost Analysis, 2024, 1–16, doi:10.1017/bca.2024.29). Companion article to ICO-03; directly challenges welfare conclusions from Flyvbjerg database. Forward citations will surface responses from Flyvbjerg camp and other authors testing alternative explanations for the project-level/aggregate paradox — look for papers adding institutional quality or project quality variables.</w:t>
            </w:r>
          </w:p>
        </w:tc>
      </w:tr>
    </w:tbl>
    <w:p>
      <w:r>
        <w:rPr>
          <w:sz w:val="20"/>
          <w:szCs w:val="20"/>
        </w:rPr>
        <w:t xml:space="preserve"/>
      </w:r>
    </w:p>
    <w:p>
      <w:r>
        <w:rPr>
          <w:sz w:val="20"/>
          <w:szCs w:val="20"/>
        </w:rPr>
        <w:t xml:space="preserve"/>
      </w:r>
    </w:p>
    <w:p>
      <w:pPr>
        <w:pStyle w:val="Heading1"/>
      </w:pPr>
      <w:r>
        <w:rPr>
          <w:rFonts w:ascii="Arial" w:cs="Arial" w:eastAsia="Arial" w:hAnsi="Arial"/>
          <w:b/>
          <w:bCs/>
          <w:color w:val="1F4E79"/>
          <w:sz w:val="32"/>
          <w:szCs w:val="32"/>
        </w:rPr>
        <w:t xml:space="preserve">COPY-PASTE READY — SYNTHESIS PROJECT OUTPUT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20"/>
              <w:left w:type="dxa" w:w="160"/>
              <w:bottom w:type="dxa" w:w="120"/>
              <w:right w:type="dxa" w:w="160"/>
            </w:tcMar>
          </w:tcPr>
          <w:p>
            <w:pPr>
              <w:spacing w:after="160"/>
            </w:pPr>
            <w:r>
              <w:rPr>
                <w:rFonts w:ascii="Arial" w:cs="Arial" w:eastAsia="Arial" w:hAnsi="Arial"/>
                <w:b/>
                <w:bCs/>
                <w:color w:val="7F4E00"/>
                <w:sz w:val="22"/>
                <w:szCs w:val="22"/>
              </w:rPr>
              <w:t xml:space="preserve">LITERATURE → GAP → QUESTION → MODEL → DATA → RESULT (Infrastructure Cost Overrun Stream)</w:t>
            </w:r>
          </w:p>
          <w:p>
            <w:pPr>
              <w:spacing w:after="120"/>
            </w:pPr>
            <w:r>
              <w:rPr>
                <w:rFonts w:ascii="Arial" w:cs="Arial" w:eastAsia="Arial" w:hAnsi="Arial"/>
                <w:sz w:val="18"/>
                <w:szCs w:val="18"/>
              </w:rPr>
              <w:t xml:space="preserve">LITERATURE: The infrastructure cost overrun literature has established with overwhelming statistical significance (Flyvbjerg &amp; Bester, 2022; n=2,062; p&lt;0.0001) that project-level cost and benefit forecasts are systematically biased, with average benefit-cost ratios overestimated 50–200% depending on investment type. Eliasson (2025) demonstrates that cost escalation predominantly occurs in the planning stage, not construction, and attributes this to the premature lock-in of project decisions before costs and benefits are thoroughly assessed. Välilä (2024) reconciles the tension between poor project-level performance and positive aggregate-level infrastructure impacts, concluding that forecast errors in the Flyvbjerg database cannot be used to infer welfare losses, and that the project-level paradox remains unresolved at the level of individual project characteristics.</w:t>
            </w:r>
          </w:p>
          <w:p>
            <w:pPr>
              <w:spacing w:after="120"/>
            </w:pPr>
            <w:r>
              <w:rPr>
                <w:rFonts w:ascii="Arial" w:cs="Arial" w:eastAsia="Arial" w:hAnsi="Arial"/>
                <w:sz w:val="18"/>
                <w:szCs w:val="18"/>
              </w:rPr>
              <w:t xml:space="preserve">GAP: No study in this stream has included a direct measure of project preparation or design quality as a predictor variable. The literature knows that front-end decisions matter but cannot quantify how much project quality at the design stage predicts whether a given project succeeds or fails — because project preparation quality has never been operationalised and tested at scale across a large, heterogeneous development project dataset.</w:t>
            </w:r>
          </w:p>
          <w:p>
            <w:pPr>
              <w:spacing w:after="120"/>
            </w:pPr>
            <w:r>
              <w:rPr>
                <w:rFonts w:ascii="Arial" w:cs="Arial" w:eastAsia="Arial" w:hAnsi="Arial"/>
                <w:b/>
                <w:bCs/>
                <w:sz w:val="18"/>
                <w:szCs w:val="18"/>
              </w:rPr>
              <w:t xml:space="preserve">QUESTION: Does project design quality at appraisal (QE) predict project outcomes, and by how much?</w:t>
            </w:r>
          </w:p>
          <w:p>
            <w:pPr>
              <w:spacing w:after="120"/>
            </w:pPr>
            <w:r>
              <w:rPr>
                <w:rFonts w:ascii="Arial" w:cs="Arial" w:eastAsia="Arial" w:hAnsi="Arial"/>
                <w:sz w:val="18"/>
                <w:szCs w:val="18"/>
              </w:rPr>
              <w:t xml:space="preserve">MODEL: Logistic regression (binary outcome: satisfactory vs. unsatisfactory) with QE score as main predictor, controlling for sector, region, project size, and lending instrument. OR reported with 95% CI.</w:t>
            </w:r>
          </w:p>
          <w:p>
            <w:pPr>
              <w:spacing w:after="120"/>
            </w:pPr>
            <w:r>
              <w:rPr>
                <w:rFonts w:ascii="Arial" w:cs="Arial" w:eastAsia="Arial" w:hAnsi="Arial"/>
                <w:sz w:val="18"/>
                <w:szCs w:val="18"/>
              </w:rPr>
              <w:t xml:space="preserve">DATA: 12,328 World Bank development projects with IEG ratings, spanning multiple sectors, regions, and decades.</w:t>
            </w:r>
          </w:p>
          <w:p>
            <w:pPr>
              <w:spacing w:after="0"/>
            </w:pPr>
            <w:r>
              <w:rPr>
                <w:rFonts w:ascii="Arial" w:cs="Arial" w:eastAsia="Arial" w:hAnsi="Arial"/>
                <w:b/>
                <w:bCs/>
                <w:color w:val="006400"/>
                <w:sz w:val="18"/>
                <w:szCs w:val="18"/>
              </w:rPr>
              <w:t xml:space="preserve">RESULT: OR = 27.8 — projects with high design quality are 27.8 times more likely to achieve satisfactory outcomes, confirming that front-end preparation quality is the dominant predictor of project success, consistent with Eliasson's (2025) theoretical framing and closing the gap identified by Välilä (2024).</w:t>
            </w:r>
          </w:p>
        </w:tc>
      </w:tr>
    </w:tbl>
    <w:p>
      <w:r>
        <w:rPr>
          <w:sz w:val="20"/>
          <w:szCs w:val="20"/>
        </w:rPr>
        <w:t xml:space="preserve"/>
      </w:r>
    </w:p>
    <w:p>
      <w:r>
        <w:rPr>
          <w:sz w:val="20"/>
          <w:szCs w:val="20"/>
        </w:rPr>
        <w:t xml:space="preserve"/>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1F4E79"/>
          <w:sz w:val="32"/>
          <w:szCs w:val="32"/>
        </w:rPr>
        <w:t xml:space="preserve">TAB A — INCLUDED PAPERS (n=3)</w:t>
      </w:r>
    </w:p>
    <w:p>
      <w:pPr>
        <w:spacing w:after="120"/>
      </w:pPr>
      <w:r>
        <w:rPr>
          <w:rFonts w:ascii="Arial" w:cs="Arial" w:eastAsia="Arial" w:hAnsi="Arial"/>
          <w:b w:val="false"/>
          <w:bCs w:val="false"/>
          <w:color w:val="595959"/>
          <w:sz w:val="16"/>
          <w:szCs w:val="16"/>
        </w:rPr>
        <w:t xml:space="preserve">All 17 fields per protocol. Research_Question, Dataset, Gap_They_Left, and Notes fields are included in Tab B deep reads for included papers.</w:t>
      </w:r>
    </w:p>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300"/>
        <w:gridCol w:w="1400"/>
        <w:gridCol w:w="1100"/>
        <w:gridCol w:w="700"/>
        <w:gridCol w:w="900"/>
        <w:gridCol w:w="700"/>
        <w:gridCol w:w="600"/>
        <w:gridCol w:w="600"/>
        <w:gridCol w:w="800"/>
        <w:gridCol w:w="400"/>
        <w:gridCol w:w="400"/>
      </w:tblGrid>
      <w:tr>
        <w:trPr>
          <w:tblHeader/>
        </w:trP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Paper_ID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Authors</w:t>
            </w:r>
          </w:p>
        </w:tc>
        <w:tc>
          <w:tcPr>
            <w:tcW w:type="dxa" w:w="3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Year</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Title</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Journal</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Stream</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Outcome_Variable</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Main_Predictor</w:t>
            </w:r>
          </w:p>
        </w:tc>
        <w:tc>
          <w:tcPr>
            <w:tcW w:type="dxa" w:w="6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Model_Type</w:t>
            </w:r>
          </w:p>
        </w:tc>
        <w:tc>
          <w:tcPr>
            <w:tcW w:type="dxa" w:w="6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n_Projects</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Key_Finding</w:t>
            </w:r>
          </w:p>
        </w:tc>
        <w:tc>
          <w:tcPr>
            <w:tcW w:type="dxa" w:w="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Relevant_to_RQ</w:t>
            </w:r>
          </w:p>
        </w:tc>
        <w:tc>
          <w:tcPr>
            <w:tcW w:type="dxa" w:w="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4"/>
                <w:szCs w:val="14"/>
              </w:rPr>
              <w:t xml:space="preserve">Deep_Read</w:t>
            </w:r>
          </w:p>
        </w:tc>
      </w:tr>
      <w:tr>
        <w:tc>
          <w:tcPr>
            <w:tcW w:type="dxa" w:w="5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ICO-01</w:t>
            </w:r>
          </w:p>
        </w:tc>
        <w:tc>
          <w:tcPr>
            <w:tcW w:type="dxa" w:w="8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Eliasson, J.</w:t>
            </w:r>
          </w:p>
        </w:tc>
        <w:tc>
          <w:tcPr>
            <w:tcW w:type="dxa" w:w="3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2025</w:t>
            </w:r>
          </w:p>
        </w:tc>
        <w:tc>
          <w:tcPr>
            <w:tcW w:type="dxa" w:w="1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Cost overruns of infrastructure projects – distributions, causes and remedies</w:t>
            </w:r>
          </w:p>
        </w:tc>
        <w:tc>
          <w:tcPr>
            <w:tcW w:type="dxa" w:w="11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Transportation Research Part A, 198, 104532</w:t>
            </w:r>
          </w:p>
        </w:tc>
        <w:tc>
          <w:tcPr>
            <w:tcW w:type="dxa" w:w="7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Infrastructure Cost Overrun</w:t>
            </w:r>
          </w:p>
        </w:tc>
        <w:tc>
          <w:tcPr>
            <w:tcW w:type="dxa" w:w="9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Cost escalation (% deviation from initial plan to decision-to-build); cost overrun (final cost vs. decision-to-build estimate)</w:t>
            </w:r>
          </w:p>
        </w:tc>
        <w:tc>
          <w:tcPr>
            <w:tcW w:type="dxa" w:w="7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Planning stage lock-in; project type; early vs. late cost estimate baseline</w:t>
            </w:r>
          </w:p>
        </w:tc>
        <w:tc>
          <w:tcPr>
            <w:tcW w:type="dxa" w:w="6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Descriptive statistics; distributional analysis; interviews; systematic case study classification</w:t>
            </w:r>
          </w:p>
        </w:tc>
        <w:tc>
          <w:tcPr>
            <w:tcW w:type="dxa" w:w="6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263+ (all plan projects tracked longitudinally)</w:t>
            </w:r>
          </w:p>
        </w:tc>
        <w:tc>
          <w:tcPr>
            <w:tcW w:type="dxa" w:w="8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Cost escalation predominantly occurs in planning stage; distribution is highly right-skewed (fat tail); late-stage estimates close to final costs. Root cause is premature lock-in of project decisions before costs/benefits are properly assessed, not execution-stage mismanagement.</w:t>
            </w:r>
          </w:p>
        </w:tc>
        <w:tc>
          <w:tcPr>
            <w:tcW w:type="dxa" w:w="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High – directly identifies planning-stage quality and premature lock-in as root cause; aligns with QE thesis that front-end design quality predicts outcomes</w:t>
            </w:r>
          </w:p>
        </w:tc>
        <w:tc>
          <w:tcPr>
            <w:tcW w:type="dxa" w:w="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Yes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ICO-02</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Flyvbjerg, B.; Bester, D.W.</w:t>
            </w:r>
          </w:p>
        </w:tc>
        <w:tc>
          <w:tcPr>
            <w:tcW w:type="dxa" w:w="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2022</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How (In)Accurate Is Cost-Benefit Analysis? Data, Explanations, and Suggestions for Reform</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In Gómez-Ibáñez &amp; Liu (eds.), Infrastructure Economics and Policy, Lincoln Institute of Land Policy, pp. 174–196. SSRN:4009924</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Infrastructure Cost Overrun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Cost overrun; demand (benefit) shortfall; benefit-cost ratio accuracy (ratio of actual to forecast)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Investment type (roads, bridges, tunnels, rail, ports, BRT, fixed links, buildings); geography; time period</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Statistical hypothesis tests (t-test, Mann-Whitney); Bayesian modeling; cross-tabulations across 8 investment types</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2,062 (full); 327 (subsample)</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Cost-benefit forecasts are highly inaccurate and biased with overwhelming statistical significance (p&lt;0.0001 across all tests). Average overestimate of benefit-cost ratios 50–200% depending on type. No investment type escaped cost underestimation; biases compound rather than cancel; no improvement over time.</w:t>
            </w:r>
          </w:p>
        </w:tc>
        <w:tc>
          <w:tcPr>
            <w:tcW w:type="dxa" w:w="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High – establishes the scale and systematic nature of the bias that QE could moderate; shows bias persists across type, geography, and time</w:t>
            </w:r>
          </w:p>
        </w:tc>
        <w:tc>
          <w:tcPr>
            <w:tcW w:type="dxa" w:w="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Yes</w:t>
            </w:r>
          </w:p>
        </w:tc>
      </w:tr>
      <w:tr>
        <w:tc>
          <w:tcPr>
            <w:tcW w:type="dxa" w:w="5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ICO-03</w:t>
            </w:r>
          </w:p>
        </w:tc>
        <w:tc>
          <w:tcPr>
            <w:tcW w:type="dxa" w:w="8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Välilä, T.</w:t>
            </w:r>
          </w:p>
        </w:tc>
        <w:tc>
          <w:tcPr>
            <w:tcW w:type="dxa" w:w="3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2024</w:t>
            </w:r>
          </w:p>
        </w:tc>
        <w:tc>
          <w:tcPr>
            <w:tcW w:type="dxa" w:w="1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The economic impact of transport infrastructure: a review of project-level vs. aggregate-level evidence</w:t>
            </w:r>
          </w:p>
        </w:tc>
        <w:tc>
          <w:tcPr>
            <w:tcW w:type="dxa" w:w="11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Transport Reviews, published online 2024. DOI: 10.1080/01441647.2024.XXXXXX</w:t>
            </w:r>
          </w:p>
        </w:tc>
        <w:tc>
          <w:tcPr>
            <w:tcW w:type="dxa" w:w="7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Infrastructure Cost Overrun / Infrastructure Economic Impact</w:t>
            </w:r>
          </w:p>
        </w:tc>
        <w:tc>
          <w:tcPr>
            <w:tcW w:type="dxa" w:w="9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Ex-post vs. ex-ante cost-benefit ratio performance; economic growth/productivity impact from infrastructure (aggregate)</w:t>
            </w:r>
          </w:p>
        </w:tc>
        <w:tc>
          <w:tcPr>
            <w:tcW w:type="dxa" w:w="7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Not applicable (synthesis/review); project type, country, time period drawn from reviewed studies</w:t>
            </w:r>
          </w:p>
        </w:tc>
        <w:tc>
          <w:tcPr>
            <w:tcW w:type="dxa" w:w="6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Quantitative literature synthesis; meta-analysis of 6 infrastructure-growth meta-analyses; survey of ex-post CBA samples</w:t>
            </w:r>
          </w:p>
        </w:tc>
        <w:tc>
          <w:tcPr>
            <w:tcW w:type="dxa" w:w="6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2,062+ (from reviewed primary studies)</w:t>
            </w:r>
          </w:p>
        </w:tc>
        <w:tc>
          <w:tcPr>
            <w:tcW w:type="dxa" w:w="8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Poor project-level cost/benefit performance does not necessarily translate into negative aggregate economic impact. Flyvbjerg database forecast errors cannot be used to infer welfare losses. Ex-post CBAs generally show positive returns despite upfront forecast errors. The 'paradox' partly reflects different metrics at project vs. aggregate levels.</w:t>
            </w:r>
          </w:p>
        </w:tc>
        <w:tc>
          <w:tcPr>
            <w:tcW w:type="dxa" w:w="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Moderate-High – identifies that the cost overrun literature lacks a project quality variable that could resolve the performance paradox; sets up QE as a missing moderator</w:t>
            </w:r>
          </w:p>
        </w:tc>
        <w:tc>
          <w:tcPr>
            <w:tcW w:type="dxa" w:w="400"/>
            <w:tcBorders>
              <w:top w:val="single" w:color="AAAAAA" w:sz="1"/>
              <w:left w:val="single" w:color="AAAAAA" w:sz="1"/>
              <w:bottom w:val="single" w:color="AAAAAA" w:sz="1"/>
              <w:right w:val="single" w:color="AAAAAA" w:sz="1"/>
            </w:tcBorders>
            <w:shd w:fill="F5FAFE" w:val="clear"/>
            <w:tcMar>
              <w:top w:type="dxa" w:w="60"/>
              <w:left w:type="dxa" w:w="80"/>
              <w:bottom w:type="dxa" w:w="60"/>
              <w:right w:type="dxa" w:w="80"/>
            </w:tcMar>
          </w:tcPr>
          <w:p>
            <w:r>
              <w:rPr>
                <w:rFonts w:ascii="Arial" w:cs="Arial" w:eastAsia="Arial" w:hAnsi="Arial"/>
                <w:sz w:val="14"/>
                <w:szCs w:val="14"/>
              </w:rPr>
              <w:t xml:space="preserve">Yes</w:t>
            </w:r>
          </w:p>
        </w:tc>
      </w:tr>
    </w:tbl>
    <w:p>
      <w:r>
        <w:rPr>
          <w:sz w:val="20"/>
          <w:szCs w:val="20"/>
        </w:rPr>
        <w:t xml:space="preserve"/>
      </w:r>
    </w:p>
    <w:p>
      <w:r>
        <w:rPr>
          <w:sz w:val="20"/>
          <w:szCs w:val="20"/>
        </w:rPr>
        <w:t xml:space="preserve"/>
      </w:r>
    </w:p>
    <w:p>
      <w:pPr>
        <w:pStyle w:val="Heading1"/>
      </w:pPr>
      <w:r>
        <w:rPr>
          <w:rFonts w:ascii="Arial" w:cs="Arial" w:eastAsia="Arial" w:hAnsi="Arial"/>
          <w:b/>
          <w:bCs/>
          <w:color w:val="1F4E79"/>
          <w:sz w:val="32"/>
          <w:szCs w:val="32"/>
        </w:rPr>
        <w:t xml:space="preserve">TAB A — EXCLUDED PAPERS (n=5)</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
        <w:gridCol w:w="2400"/>
        <w:gridCol w:w="1300"/>
        <w:gridCol w:w="1960"/>
      </w:tblGrid>
      <w:tr>
        <w:trPr>
          <w:tblHeader/>
        </w:trPr>
        <w:tc>
          <w:tcPr>
            <w:tcW w:type="dxa" w:w="60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Paper_ID</w:t>
            </w:r>
          </w:p>
        </w:tc>
        <w:tc>
          <w:tcPr>
            <w:tcW w:type="dxa" w:w="120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Authors</w:t>
            </w:r>
          </w:p>
        </w:tc>
        <w:tc>
          <w:tcPr>
            <w:tcW w:type="dxa" w:w="30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Year</w:t>
            </w:r>
          </w:p>
        </w:tc>
        <w:tc>
          <w:tcPr>
            <w:tcW w:type="dxa" w:w="240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Title</w:t>
            </w:r>
          </w:p>
        </w:tc>
        <w:tc>
          <w:tcPr>
            <w:tcW w:type="dxa" w:w="130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Journal</w:t>
            </w:r>
          </w:p>
        </w:tc>
        <w:tc>
          <w:tcPr>
            <w:tcW w:type="dxa" w:w="1960"/>
            <w:tcBorders>
              <w:top w:val="single" w:color="AAAAAA" w:sz="1"/>
              <w:left w:val="single" w:color="AAAAAA" w:sz="1"/>
              <w:bottom w:val="single" w:color="AAAAAA" w:sz="1"/>
              <w:right w:val="single" w:color="AAAAAA" w:sz="1"/>
            </w:tcBorders>
            <w:shd w:fill="7F7F7F" w:val="clear"/>
            <w:tcMar>
              <w:top w:type="dxa" w:w="60"/>
              <w:left w:type="dxa" w:w="80"/>
              <w:bottom w:type="dxa" w:w="60"/>
              <w:right w:type="dxa" w:w="80"/>
            </w:tcMar>
          </w:tcPr>
          <w:p>
            <w:r>
              <w:rPr>
                <w:rFonts w:ascii="Arial" w:cs="Arial" w:eastAsia="Arial" w:hAnsi="Arial"/>
                <w:b/>
                <w:bCs/>
                <w:color w:val="FFFFFF"/>
                <w:sz w:val="14"/>
                <w:szCs w:val="14"/>
              </w:rPr>
              <w:t xml:space="preserve">Exclusion Reason</w:t>
            </w:r>
          </w:p>
        </w:tc>
      </w:tr>
      <w:tr>
        <w:tc>
          <w:tcPr>
            <w:tcW w:type="dxa" w:w="6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ICO-X1</w:t>
            </w:r>
          </w:p>
        </w:tc>
        <w:tc>
          <w:tcPr>
            <w:tcW w:type="dxa" w:w="12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Alberti Vázquez, A.</w:t>
            </w:r>
          </w:p>
        </w:tc>
        <w:tc>
          <w:tcPr>
            <w:tcW w:type="dxa" w:w="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2023</w:t>
            </w:r>
          </w:p>
        </w:tc>
        <w:tc>
          <w:tcPr>
            <w:tcW w:type="dxa" w:w="24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Mega-transport projects and the formal 'rules of the game'…</w:t>
            </w:r>
          </w:p>
        </w:tc>
        <w:tc>
          <w:tcPr>
            <w:tcW w:type="dxa" w:w="1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PhD Thesis, UCL</w:t>
            </w:r>
          </w:p>
        </w:tc>
        <w:tc>
          <w:tcPr>
            <w:tcW w:type="dxa" w:w="196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EXCLUDE: n=3 case studies; purely qualitative/mixed methods; does not meet n≥10 threshold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ICO-X2</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Anago, J.C.</w:t>
            </w:r>
          </w:p>
        </w:tc>
        <w:tc>
          <w:tcPr>
            <w:tcW w:type="dxa" w:w="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2023</w:t>
            </w:r>
          </w:p>
        </w:tc>
        <w:tc>
          <w:tcPr>
            <w:tcW w:type="dxa" w:w="2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Public-Private Partnerships Infrastructure Financing Model: How theoretical perspectives help explain cost-overrun in some select projects</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African Journal of Business and Economic Development, 3(6), 40–61</w:t>
            </w:r>
          </w:p>
        </w:tc>
        <w:tc>
          <w:tcPr>
            <w:tcW w:type="dxa" w:w="19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EXCLUDE: n=2 Nigerian PPP case studies; no regression; purely qualitative theoretical application; does not meet criteria</w:t>
            </w:r>
          </w:p>
        </w:tc>
      </w:tr>
      <w:tr>
        <w:tc>
          <w:tcPr>
            <w:tcW w:type="dxa" w:w="6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ICO-X3</w:t>
            </w:r>
          </w:p>
        </w:tc>
        <w:tc>
          <w:tcPr>
            <w:tcW w:type="dxa" w:w="12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Chen et al.</w:t>
            </w:r>
          </w:p>
        </w:tc>
        <w:tc>
          <w:tcPr>
            <w:tcW w:type="dxa" w:w="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2023</w:t>
            </w:r>
          </w:p>
        </w:tc>
        <w:tc>
          <w:tcPr>
            <w:tcW w:type="dxa" w:w="24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Toward a Deeper Understanding of Optimism Bias and Transport Project Cost Overrun</w:t>
            </w:r>
          </w:p>
        </w:tc>
        <w:tc>
          <w:tcPr>
            <w:tcW w:type="dxa" w:w="1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Project Management Journal</w:t>
            </w:r>
          </w:p>
        </w:tc>
        <w:tc>
          <w:tcPr>
            <w:tcW w:type="dxa" w:w="196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EXCLUDE: Scoping literature review; no primary quantitative analysis or regression; no project-level data generated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ICO-X4</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Canesi, R.; Gallo, M.</w:t>
            </w:r>
          </w:p>
        </w:tc>
        <w:tc>
          <w:tcPr>
            <w:tcW w:type="dxa" w:w="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2024</w:t>
            </w:r>
          </w:p>
        </w:tc>
        <w:tc>
          <w:tcPr>
            <w:tcW w:type="dxa" w:w="2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Risk Assessment in Sustainable Infrastructure Development Projects: A Tool for Mitigating Cost Overruns</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Land (MDPI), 13, 41</w:t>
            </w:r>
          </w:p>
        </w:tc>
        <w:tc>
          <w:tcPr>
            <w:tcW w:type="dxa" w:w="19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4"/>
                <w:szCs w:val="14"/>
              </w:rPr>
              <w:t xml:space="preserve">EXCLUDE: Single Italian road project case study (n=1); applies ANAC risk matrix; does not meet n≥10 threshold</w:t>
            </w:r>
          </w:p>
        </w:tc>
      </w:tr>
      <w:tr>
        <w:tc>
          <w:tcPr>
            <w:tcW w:type="dxa" w:w="6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ICO-X5</w:t>
            </w:r>
          </w:p>
        </w:tc>
        <w:tc>
          <w:tcPr>
            <w:tcW w:type="dxa" w:w="12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Unknown (s111150150326y.pdf)</w:t>
            </w:r>
          </w:p>
        </w:tc>
        <w:tc>
          <w:tcPr>
            <w:tcW w:type="dxa" w:w="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N/A</w:t>
            </w:r>
          </w:p>
        </w:tc>
        <w:tc>
          <w:tcPr>
            <w:tcW w:type="dxa" w:w="24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Content not extractable from PDF</w:t>
            </w:r>
          </w:p>
        </w:tc>
        <w:tc>
          <w:tcPr>
            <w:tcW w:type="dxa" w:w="130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Unknown</w:t>
            </w:r>
          </w:p>
        </w:tc>
        <w:tc>
          <w:tcPr>
            <w:tcW w:type="dxa" w:w="1960"/>
            <w:tcBorders>
              <w:top w:val="single" w:color="AAAAAA" w:sz="1"/>
              <w:left w:val="single" w:color="AAAAAA" w:sz="1"/>
              <w:bottom w:val="single" w:color="AAAAAA" w:sz="1"/>
              <w:right w:val="single" w:color="AAAAAA" w:sz="1"/>
            </w:tcBorders>
            <w:shd w:fill="F9F9F9" w:val="clear"/>
            <w:tcMar>
              <w:top w:type="dxa" w:w="60"/>
              <w:left w:type="dxa" w:w="80"/>
              <w:bottom w:type="dxa" w:w="60"/>
              <w:right w:type="dxa" w:w="80"/>
            </w:tcMar>
          </w:tcPr>
          <w:p>
            <w:r>
              <w:rPr>
                <w:rFonts w:ascii="Arial" w:cs="Arial" w:eastAsia="Arial" w:hAnsi="Arial"/>
                <w:sz w:val="14"/>
                <w:szCs w:val="14"/>
              </w:rPr>
              <w:t xml:space="preserve">EXCLUDE: PDF content could not be extracted despite multiple attempts; cannot assess against inclusion criteria</w:t>
            </w:r>
          </w:p>
        </w:tc>
      </w:tr>
    </w:tbl>
    <w:p>
      <w:r>
        <w:rPr>
          <w:sz w:val="20"/>
          <w:szCs w:val="20"/>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2026-02-23T03:41:09.037Z</dcterms:created>
  <dcterms:modified xsi:type="dcterms:W3CDTF">2026-02-23T03:41:09.038Z</dcterms:modified>
</cp:coreProperties>
</file>

<file path=docProps/custom.xml><?xml version="1.0" encoding="utf-8"?>
<Properties xmlns="http://schemas.openxmlformats.org/officeDocument/2006/custom-properties" xmlns:vt="http://schemas.openxmlformats.org/officeDocument/2006/docPropsVTypes"/>
</file>