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E90C1" w14:textId="77777777" w:rsidR="00AF56D5" w:rsidRPr="00AF56D5" w:rsidRDefault="00AF56D5" w:rsidP="00AF56D5">
      <w:r w:rsidRPr="00AF56D5">
        <w:pict w14:anchorId="33C29431">
          <v:rect id="_x0000_i1073" style="width:0;height:1.5pt" o:hralign="center" o:hrstd="t" o:hr="t" fillcolor="#a0a0a0" stroked="f"/>
        </w:pict>
      </w:r>
    </w:p>
    <w:p w14:paraId="4124168D" w14:textId="77777777" w:rsidR="00AF56D5" w:rsidRPr="00AF56D5" w:rsidRDefault="00AF56D5" w:rsidP="00AF56D5">
      <w:pPr>
        <w:rPr>
          <w:b/>
          <w:bCs/>
        </w:rPr>
      </w:pPr>
      <w:r w:rsidRPr="00AF56D5">
        <w:rPr>
          <w:b/>
          <w:bCs/>
        </w:rPr>
        <w:t>TAB A — ALL INCLUDED PAPERS</w:t>
      </w:r>
    </w:p>
    <w:p w14:paraId="20820248" w14:textId="77777777" w:rsidR="00AF56D5" w:rsidRPr="00AF56D5" w:rsidRDefault="00AF56D5" w:rsidP="00AF56D5">
      <w:r w:rsidRPr="00AF56D5">
        <w:pict w14:anchorId="4ABBF989">
          <v:rect id="_x0000_i1074" style="width:0;height:1.5pt" o:hralign="center" o:hrstd="t" o:hr="t" fillcolor="#a0a0a0" stroked="f"/>
        </w:pict>
      </w:r>
    </w:p>
    <w:p w14:paraId="369E3C94" w14:textId="77777777" w:rsidR="00AF56D5" w:rsidRPr="00AF56D5" w:rsidRDefault="00AF56D5" w:rsidP="00AF56D5">
      <w:r w:rsidRPr="00AF56D5">
        <w:rPr>
          <w:b/>
          <w:bCs/>
        </w:rPr>
        <w:t>Paper_ID:</w:t>
      </w:r>
      <w:r w:rsidRPr="00AF56D5">
        <w:t xml:space="preserve"> IEG-RAP-2012 </w:t>
      </w:r>
      <w:r w:rsidRPr="00AF56D5">
        <w:rPr>
          <w:b/>
          <w:bCs/>
        </w:rPr>
        <w:t>Authors:</w:t>
      </w:r>
      <w:r w:rsidRPr="00AF56D5">
        <w:t xml:space="preserve"> IEG (Independent Evaluation Group) </w:t>
      </w:r>
      <w:r w:rsidRPr="00AF56D5">
        <w:rPr>
          <w:b/>
          <w:bCs/>
        </w:rPr>
        <w:t>Year:</w:t>
      </w:r>
      <w:r w:rsidRPr="00AF56D5">
        <w:t xml:space="preserve"> 2013 </w:t>
      </w:r>
      <w:r w:rsidRPr="00AF56D5">
        <w:rPr>
          <w:b/>
          <w:bCs/>
        </w:rPr>
        <w:t>Title:</w:t>
      </w:r>
      <w:r w:rsidRPr="00AF56D5">
        <w:t xml:space="preserve"> Results and Performance of the World Bank Group 2012 (Volume I: Main Report) </w:t>
      </w:r>
      <w:r w:rsidRPr="00AF56D5">
        <w:rPr>
          <w:b/>
          <w:bCs/>
        </w:rPr>
        <w:t>Journal/Publisher:</w:t>
      </w:r>
      <w:r w:rsidRPr="00AF56D5">
        <w:t xml:space="preserve"> World Bank / IEG Annual Report (RAP series) </w:t>
      </w:r>
      <w:r w:rsidRPr="00AF56D5">
        <w:rPr>
          <w:b/>
          <w:bCs/>
        </w:rPr>
        <w:t>Stream:</w:t>
      </w:r>
      <w:r w:rsidRPr="00AF56D5">
        <w:t xml:space="preserve"> IEG Self-Evaluation – Portfolio Performance Ratings </w:t>
      </w:r>
      <w:r w:rsidRPr="00AF56D5">
        <w:rPr>
          <w:b/>
          <w:bCs/>
        </w:rPr>
        <w:t>Research_Question:</w:t>
      </w:r>
      <w:r w:rsidRPr="00AF56D5">
        <w:t xml:space="preserve"> What does evaluative evidence reveal about the effectiveness of World Bank Group operations, and what factors (work quality, quality at entry, M&amp;E) are associated with better project development outcomes? </w:t>
      </w:r>
      <w:r w:rsidRPr="00AF56D5">
        <w:rPr>
          <w:b/>
          <w:bCs/>
        </w:rPr>
        <w:t>Outcome_Variable:</w:t>
      </w:r>
      <w:r w:rsidRPr="00AF56D5">
        <w:t xml:space="preserve"> IEG development outcome rating (% rated Moderately Satisfactory or better); IFC development outcome rating </w:t>
      </w:r>
      <w:r w:rsidRPr="00AF56D5">
        <w:rPr>
          <w:b/>
          <w:bCs/>
        </w:rPr>
        <w:t>Main_Predictor:</w:t>
      </w:r>
      <w:r w:rsidRPr="00AF56D5">
        <w:t xml:space="preserve"> Work quality (IFC role/contribution; supervision quality); quality at entry (WB investment projects) </w:t>
      </w:r>
      <w:r w:rsidRPr="00AF56D5">
        <w:rPr>
          <w:b/>
          <w:bCs/>
        </w:rPr>
        <w:t>Model_Type:</w:t>
      </w:r>
      <w:r w:rsidRPr="00AF56D5">
        <w:t xml:space="preserve"> OLS regression (IFC XPSRs); descriptive cross-tabulation (WB investment projects, Table 3.1) </w:t>
      </w:r>
      <w:r w:rsidRPr="00AF56D5">
        <w:rPr>
          <w:b/>
          <w:bCs/>
        </w:rPr>
        <w:t>Dataset:</w:t>
      </w:r>
      <w:r w:rsidRPr="00AF56D5">
        <w:t xml:space="preserve"> IEG XPSR database (IFC); IEG portfolio rating database (WB investment projects, FY06–11 exits) </w:t>
      </w:r>
      <w:r w:rsidRPr="00AF56D5">
        <w:rPr>
          <w:b/>
          <w:bCs/>
        </w:rPr>
        <w:t>n_Projects:</w:t>
      </w:r>
      <w:r w:rsidRPr="00AF56D5">
        <w:t xml:space="preserve"> 657 IFC XPSRs (regression); WB investment project portfolio not precisely stated in main text (several thousand implied) </w:t>
      </w:r>
      <w:r w:rsidRPr="00AF56D5">
        <w:rPr>
          <w:b/>
          <w:bCs/>
        </w:rPr>
        <w:t>Key_Finding:</w:t>
      </w:r>
      <w:r w:rsidRPr="00AF56D5">
        <w:t xml:space="preserve"> IFC work quality—especially IFC's role/contribution and supervision quality—is the main internal determinant of IFC development outcomes. Quality at entry and quality of supervision have declined for WB investment projects and evaluations consistently identify these as key determinants of outcomes. Fifty-eight percent of IFC Advisory Services had high development effectiveness; quality of design was key. </w:t>
      </w:r>
      <w:r w:rsidRPr="00AF56D5">
        <w:rPr>
          <w:b/>
          <w:bCs/>
        </w:rPr>
        <w:t>Gap_They_Left:</w:t>
      </w:r>
      <w:r w:rsidRPr="00AF56D5">
        <w:t xml:space="preserve"> Does not isolate causal effect of quality-at-entry (QE) on WB IBRD/IDA investment project outcomes via regression controlling for observable confounders; no propensity-score or fixed-effects analysis of WB side; no analysis of QE as a design composite score predicting binary outcome across the full population. </w:t>
      </w:r>
      <w:r w:rsidRPr="00AF56D5">
        <w:rPr>
          <w:b/>
          <w:bCs/>
        </w:rPr>
        <w:t>Relevant_to_RQ:</w:t>
      </w:r>
      <w:r w:rsidRPr="00AF56D5">
        <w:t xml:space="preserve"> High – directly establishes that QE/design quality and supervision quality are the main Bank-controllable determinants of outcomes; provides the IEG institutional evidence base and outcome-rating methodology on which your OR=27.8 result rests. </w:t>
      </w:r>
      <w:r w:rsidRPr="00AF56D5">
        <w:rPr>
          <w:b/>
          <w:bCs/>
        </w:rPr>
        <w:t>Deep_Read:</w:t>
      </w:r>
      <w:r w:rsidRPr="00AF56D5">
        <w:t xml:space="preserve"> No </w:t>
      </w:r>
      <w:r w:rsidRPr="00AF56D5">
        <w:rPr>
          <w:b/>
          <w:bCs/>
        </w:rPr>
        <w:t>Notes:</w:t>
      </w:r>
      <w:r w:rsidRPr="00AF56D5">
        <w:t xml:space="preserve"> This is the IEG RAP 2012 (published 2013). The IFC regression (n=657) is in footnote 26 / Appendix H Vol II; the WB side regression is absent—this is a key gap your dissertation fills.</w:t>
      </w:r>
    </w:p>
    <w:p w14:paraId="6F86CAFC" w14:textId="77777777" w:rsidR="00AF56D5" w:rsidRPr="00AF56D5" w:rsidRDefault="00AF56D5" w:rsidP="00AF56D5">
      <w:r w:rsidRPr="00AF56D5">
        <w:pict w14:anchorId="2860DF87">
          <v:rect id="_x0000_i1075" style="width:0;height:1.5pt" o:hralign="center" o:hrstd="t" o:hr="t" fillcolor="#a0a0a0" stroked="f"/>
        </w:pict>
      </w:r>
    </w:p>
    <w:p w14:paraId="212621DB" w14:textId="77777777" w:rsidR="00AF56D5" w:rsidRPr="00AF56D5" w:rsidRDefault="00AF56D5" w:rsidP="00AF56D5">
      <w:r w:rsidRPr="00AF56D5">
        <w:rPr>
          <w:b/>
          <w:bCs/>
        </w:rPr>
        <w:t>Paper_ID:</w:t>
      </w:r>
      <w:r w:rsidRPr="00AF56D5">
        <w:t xml:space="preserve"> RAIMONDO-2016 </w:t>
      </w:r>
      <w:r w:rsidRPr="00AF56D5">
        <w:rPr>
          <w:b/>
          <w:bCs/>
        </w:rPr>
        <w:t>Authors:</w:t>
      </w:r>
      <w:r w:rsidRPr="00AF56D5">
        <w:t xml:space="preserve"> Raimondo, Estelle </w:t>
      </w:r>
      <w:r w:rsidRPr="00AF56D5">
        <w:rPr>
          <w:b/>
          <w:bCs/>
        </w:rPr>
        <w:t>Year:</w:t>
      </w:r>
      <w:r w:rsidRPr="00AF56D5">
        <w:t xml:space="preserve"> 2016 </w:t>
      </w:r>
      <w:r w:rsidRPr="00AF56D5">
        <w:rPr>
          <w:b/>
          <w:bCs/>
        </w:rPr>
        <w:t>Title:</w:t>
      </w:r>
      <w:r w:rsidRPr="00AF56D5">
        <w:t xml:space="preserve"> What Difference Does Good Monitoring &amp; Evaluation Make to World Bank Project Performance? </w:t>
      </w:r>
      <w:r w:rsidRPr="00AF56D5">
        <w:rPr>
          <w:b/>
          <w:bCs/>
        </w:rPr>
        <w:t>Journal/Publisher:</w:t>
      </w:r>
      <w:r w:rsidRPr="00AF56D5">
        <w:t xml:space="preserve"> World Bank Policy Research Working Paper 7726 </w:t>
      </w:r>
      <w:r w:rsidRPr="00AF56D5">
        <w:rPr>
          <w:b/>
          <w:bCs/>
        </w:rPr>
        <w:t>Stream:</w:t>
      </w:r>
      <w:r w:rsidRPr="00AF56D5">
        <w:t xml:space="preserve"> IEG Self-Evaluation – M&amp;E Quality and Project Outcomes </w:t>
      </w:r>
      <w:r w:rsidRPr="00AF56D5">
        <w:rPr>
          <w:b/>
          <w:bCs/>
        </w:rPr>
        <w:t>Research_Question:</w:t>
      </w:r>
      <w:r w:rsidRPr="00AF56D5">
        <w:t xml:space="preserve"> Does the quality of M&amp;E (design, implementation, use) causally improve World Bank project outcome ratings, and by how much? </w:t>
      </w:r>
      <w:r w:rsidRPr="00AF56D5">
        <w:rPr>
          <w:b/>
          <w:bCs/>
        </w:rPr>
        <w:t>Outcome_Variable:</w:t>
      </w:r>
      <w:r w:rsidRPr="00AF56D5">
        <w:t xml:space="preserve"> IEG project outcome </w:t>
      </w:r>
      <w:r w:rsidRPr="00AF56D5">
        <w:lastRenderedPageBreak/>
        <w:t xml:space="preserve">rating (6-point scale: highly satisfactory to highly unsatisfactory); also ICR self-evaluation outcome rating </w:t>
      </w:r>
      <w:r w:rsidRPr="00AF56D5">
        <w:rPr>
          <w:b/>
          <w:bCs/>
        </w:rPr>
        <w:t>Main_Predictor:</w:t>
      </w:r>
      <w:r w:rsidRPr="00AF56D5">
        <w:t xml:space="preserve"> M&amp;E quality rating (IEG-assigned 4-point Likert: negligible, modest, substantial, high) </w:t>
      </w:r>
      <w:r w:rsidRPr="00AF56D5">
        <w:rPr>
          <w:b/>
          <w:bCs/>
        </w:rPr>
        <w:t>Model_Type:</w:t>
      </w:r>
      <w:r w:rsidRPr="00AF56D5">
        <w:t xml:space="preserve"> OLS regression; Ordered Logit; Propensity Score Matching (binary and multivalued treatment); Conditional fixed-effects logistic regression (TTL fixed effects) </w:t>
      </w:r>
      <w:r w:rsidRPr="00AF56D5">
        <w:rPr>
          <w:b/>
          <w:bCs/>
        </w:rPr>
        <w:t>Dataset:</w:t>
      </w:r>
      <w:r w:rsidRPr="00AF56D5">
        <w:t xml:space="preserve"> IEG project performance rating database; IEG M&amp;E quality ratings introduced 2006; IEG-evaluated WB investment loan projects Jan 2008–Dec 2014 </w:t>
      </w:r>
      <w:r w:rsidRPr="00AF56D5">
        <w:rPr>
          <w:b/>
          <w:bCs/>
        </w:rPr>
        <w:t>n_Projects:</w:t>
      </w:r>
      <w:r w:rsidRPr="00AF56D5">
        <w:t xml:space="preserve"> 1,385 WB investment loan projects (final sample after excluding DPLs; initial extraction N=1,683) </w:t>
      </w:r>
      <w:r w:rsidRPr="00AF56D5">
        <w:rPr>
          <w:b/>
          <w:bCs/>
        </w:rPr>
        <w:t>Key_Finding:</w:t>
      </w:r>
      <w:r w:rsidRPr="00AF56D5">
        <w:t xml:space="preserve"> Good M&amp;E quality is positively and significantly associated with project outcomes. OLS: 1-point increase in M&amp;E quality (4-pt scale) → 0.30-point increase in project performance (6-pt scale), significant at 1% level. When controlling for supervision quality and quality at entry, effect = 0.17 points (equivalent to supervision quality effect of 0.18). PSM ATT shows significant treatment effect. ICR self-evaluation outcome shows smaller positive association (0.12). Project manager FE strategy confirms M&amp;E quality effect is not merely a proxy for manager quality. </w:t>
      </w:r>
      <w:r w:rsidRPr="00AF56D5">
        <w:rPr>
          <w:b/>
          <w:bCs/>
        </w:rPr>
        <w:t>Gap_They_Left:</w:t>
      </w:r>
      <w:r w:rsidRPr="00AF56D5">
        <w:t xml:space="preserve"> M&amp;E is one design component, not the full composite quality-at-entry (QE) score; does not use IEG's QE rating directly; no cross-institutional analysis (WB only); does not estimate OR or distinguish whether QE predicts satisfactory/unsatisfactory threshold (binary); M&amp;E quality is rated retrospectively (ex-post endogeneity risk acknowledged but not fully resolved); does not extend to full WB portfolio (limited to 2008–2014 investment loans with M&amp;E rating). </w:t>
      </w:r>
      <w:r w:rsidRPr="00AF56D5">
        <w:rPr>
          <w:b/>
          <w:bCs/>
        </w:rPr>
        <w:t>Relevant_to_RQ:</w:t>
      </w:r>
      <w:r w:rsidRPr="00AF56D5">
        <w:t xml:space="preserve"> Very High – this is the closest direct predecessor to your study; establishes M&amp;E quality (a sub-component of QE) → outcome link with 1,385 projects; your advance is to use full QE composite and extend to 12,328 projects producing OR=27.8. </w:t>
      </w:r>
      <w:r w:rsidRPr="00AF56D5">
        <w:rPr>
          <w:b/>
          <w:bCs/>
        </w:rPr>
        <w:t>Deep_Read:</w:t>
      </w:r>
      <w:r w:rsidRPr="00AF56D5">
        <w:t xml:space="preserve"> Yes</w:t>
      </w:r>
    </w:p>
    <w:p w14:paraId="4EED8F39" w14:textId="77777777" w:rsidR="00AF56D5" w:rsidRPr="00AF56D5" w:rsidRDefault="00AF56D5" w:rsidP="00AF56D5">
      <w:r w:rsidRPr="00AF56D5">
        <w:pict w14:anchorId="276C00F5">
          <v:rect id="_x0000_i1076" style="width:0;height:1.5pt" o:hralign="center" o:hrstd="t" o:hr="t" fillcolor="#a0a0a0" stroked="f"/>
        </w:pict>
      </w:r>
    </w:p>
    <w:p w14:paraId="0A9C4E2F" w14:textId="77777777" w:rsidR="00AF56D5" w:rsidRPr="00AF56D5" w:rsidRDefault="00AF56D5" w:rsidP="00AF56D5">
      <w:r w:rsidRPr="00AF56D5">
        <w:rPr>
          <w:b/>
          <w:bCs/>
        </w:rPr>
        <w:t>Paper_ID:</w:t>
      </w:r>
      <w:r w:rsidRPr="00AF56D5">
        <w:t xml:space="preserve"> WESSAL-2015 </w:t>
      </w:r>
      <w:r w:rsidRPr="00AF56D5">
        <w:rPr>
          <w:b/>
          <w:bCs/>
        </w:rPr>
        <w:t>Authors:</w:t>
      </w:r>
      <w:r w:rsidRPr="00AF56D5">
        <w:t xml:space="preserve"> Wessal, Arianne; Wescott, Clay G.; Espíndola, Carlos </w:t>
      </w:r>
      <w:r w:rsidRPr="00AF56D5">
        <w:rPr>
          <w:b/>
          <w:bCs/>
        </w:rPr>
        <w:t>Year:</w:t>
      </w:r>
      <w:r w:rsidRPr="00AF56D5">
        <w:t xml:space="preserve"> 2015 </w:t>
      </w:r>
      <w:r w:rsidRPr="00AF56D5">
        <w:rPr>
          <w:b/>
          <w:bCs/>
        </w:rPr>
        <w:t>Title:</w:t>
      </w:r>
      <w:r w:rsidRPr="00AF56D5">
        <w:t xml:space="preserve"> Delivering Better Outcomes in Education: The World Bank's Experience </w:t>
      </w:r>
      <w:r w:rsidRPr="00AF56D5">
        <w:rPr>
          <w:b/>
          <w:bCs/>
        </w:rPr>
        <w:t>Journal/Publisher:</w:t>
      </w:r>
      <w:r w:rsidRPr="00AF56D5">
        <w:t xml:space="preserve"> International Public Management Review (IPMR), Vol. 16, Issue 1 </w:t>
      </w:r>
      <w:r w:rsidRPr="00AF56D5">
        <w:rPr>
          <w:b/>
          <w:bCs/>
        </w:rPr>
        <w:t>Stream:</w:t>
      </w:r>
      <w:r w:rsidRPr="00AF56D5">
        <w:t xml:space="preserve"> IEG Self-Evaluation – M&amp;E Design Quality and Sector Outcomes </w:t>
      </w:r>
      <w:r w:rsidRPr="00AF56D5">
        <w:rPr>
          <w:b/>
          <w:bCs/>
        </w:rPr>
        <w:t>Research_Question:</w:t>
      </w:r>
      <w:r w:rsidRPr="00AF56D5">
        <w:t xml:space="preserve"> Do World Bank supported education projects achieve better outcomes when there is deeper attention to designing monitoring and evaluation systems during project design? </w:t>
      </w:r>
      <w:r w:rsidRPr="00AF56D5">
        <w:rPr>
          <w:b/>
          <w:bCs/>
        </w:rPr>
        <w:t>Outcome_Variable:</w:t>
      </w:r>
      <w:r w:rsidRPr="00AF56D5">
        <w:t xml:space="preserve"> IEG project outcome rating (WB education investment projects) </w:t>
      </w:r>
      <w:r w:rsidRPr="00AF56D5">
        <w:rPr>
          <w:b/>
          <w:bCs/>
        </w:rPr>
        <w:t>Main_Predictor:</w:t>
      </w:r>
      <w:r w:rsidRPr="00AF56D5">
        <w:t xml:space="preserve"> M&amp;E design quality rating (WB database, IEG-assigned) </w:t>
      </w:r>
      <w:r w:rsidRPr="00AF56D5">
        <w:rPr>
          <w:b/>
          <w:bCs/>
        </w:rPr>
        <w:t>Model_Type:</w:t>
      </w:r>
      <w:r w:rsidRPr="00AF56D5">
        <w:t xml:space="preserve"> Comparative statistical analysis (mean-difference, significance test); case study supplementation; correlational </w:t>
      </w:r>
      <w:r w:rsidRPr="00AF56D5">
        <w:rPr>
          <w:b/>
          <w:bCs/>
        </w:rPr>
        <w:t>Dataset:</w:t>
      </w:r>
      <w:r w:rsidRPr="00AF56D5">
        <w:t xml:space="preserve"> IEG/World Bank investment project database; WB education sector projects </w:t>
      </w:r>
      <w:r w:rsidRPr="00AF56D5">
        <w:rPr>
          <w:b/>
          <w:bCs/>
        </w:rPr>
        <w:t>n_Projects:</w:t>
      </w:r>
      <w:r w:rsidRPr="00AF56D5">
        <w:t xml:space="preserve"> Not precisely stated in text; uses "recently constructed database of World Bank investment projects" (education sub-sample; referenced IEG 2014 which covers multi-year WB portfolio) </w:t>
      </w:r>
      <w:r w:rsidRPr="00AF56D5">
        <w:rPr>
          <w:b/>
          <w:bCs/>
        </w:rPr>
        <w:t>Key_Finding:</w:t>
      </w:r>
      <w:r w:rsidRPr="00AF56D5">
        <w:t xml:space="preserve"> Better-performing WB education projects have statistically significantly higher M&amp;E design ratings. Difference in M&amp;E ratings between </w:t>
      </w:r>
      <w:r w:rsidRPr="00AF56D5">
        <w:lastRenderedPageBreak/>
        <w:t xml:space="preserve">high- and low-outcome projects is statistically significant. Even higher-rated projects average only "modest" M&amp;E quality, suggesting room for improvement. Design features common to high performers: integrated M&amp;E, pilots with flexibility, frequent reporting and field visits, thorough baseline research. </w:t>
      </w:r>
      <w:r w:rsidRPr="00AF56D5">
        <w:rPr>
          <w:b/>
          <w:bCs/>
        </w:rPr>
        <w:t>Gap_They_Left:</w:t>
      </w:r>
      <w:r w:rsidRPr="00AF56D5">
        <w:t xml:space="preserve"> Education sector only; no regression coefficients or effect-size estimates reported; n not precisely stated; no causal identification strategy (no PSM or FE); does not extend to full WB cross-sector portfolio or use composite QE score; does not quantify odds ratio or probability of outcome. </w:t>
      </w:r>
      <w:r w:rsidRPr="00AF56D5">
        <w:rPr>
          <w:b/>
          <w:bCs/>
        </w:rPr>
        <w:t>Relevant_to_RQ:</w:t>
      </w:r>
      <w:r w:rsidRPr="00AF56D5">
        <w:t xml:space="preserve"> Moderate – confirms M&amp;E design quality → outcome relationship for a sector sub-sample; supports the design-quality construct but lacks the analytic depth of Raimondo 2016 or your study. </w:t>
      </w:r>
      <w:r w:rsidRPr="00AF56D5">
        <w:rPr>
          <w:b/>
          <w:bCs/>
        </w:rPr>
        <w:t>Deep_Read:</w:t>
      </w:r>
      <w:r w:rsidRPr="00AF56D5">
        <w:t xml:space="preserve"> No </w:t>
      </w:r>
      <w:r w:rsidRPr="00AF56D5">
        <w:rPr>
          <w:b/>
          <w:bCs/>
        </w:rPr>
        <w:t>Notes:</w:t>
      </w:r>
      <w:r w:rsidRPr="00AF56D5">
        <w:t xml:space="preserve"> IPMN Conference paper published in open-access peer-reviewed journal; conference paper status means no formal blind peer review; same database as Raimondo 2016 (WB investment project rating system) but education sub-sample only.</w:t>
      </w:r>
    </w:p>
    <w:p w14:paraId="297017B3" w14:textId="77777777" w:rsidR="00AF56D5" w:rsidRPr="00AF56D5" w:rsidRDefault="00AF56D5" w:rsidP="00AF56D5">
      <w:r w:rsidRPr="00AF56D5">
        <w:pict w14:anchorId="756D7258">
          <v:rect id="_x0000_i1077" style="width:0;height:1.5pt" o:hralign="center" o:hrstd="t" o:hr="t" fillcolor="#a0a0a0" stroked="f"/>
        </w:pict>
      </w:r>
    </w:p>
    <w:p w14:paraId="4C49F176" w14:textId="77777777" w:rsidR="00AF56D5" w:rsidRPr="00AF56D5" w:rsidRDefault="00AF56D5" w:rsidP="00AF56D5">
      <w:pPr>
        <w:rPr>
          <w:b/>
          <w:bCs/>
        </w:rPr>
      </w:pPr>
      <w:r w:rsidRPr="00AF56D5">
        <w:rPr>
          <w:b/>
          <w:bCs/>
        </w:rPr>
        <w:t>TAB B — DEEP READ: RAIMONDO-2016</w:t>
      </w:r>
    </w:p>
    <w:p w14:paraId="4BC127FD" w14:textId="77777777" w:rsidR="00AF56D5" w:rsidRPr="00AF56D5" w:rsidRDefault="00AF56D5" w:rsidP="00AF56D5">
      <w:r w:rsidRPr="00AF56D5">
        <w:pict w14:anchorId="02C894C8">
          <v:rect id="_x0000_i1078" style="width:0;height:1.5pt" o:hralign="center" o:hrstd="t" o:hr="t" fillcolor="#a0a0a0" stroked="f"/>
        </w:pict>
      </w:r>
    </w:p>
    <w:p w14:paraId="4C27F2DF" w14:textId="77777777" w:rsidR="00AF56D5" w:rsidRPr="00AF56D5" w:rsidRDefault="00AF56D5" w:rsidP="00AF56D5">
      <w:r w:rsidRPr="00AF56D5">
        <w:rPr>
          <w:b/>
          <w:bCs/>
        </w:rPr>
        <w:t>Paper_ID:</w:t>
      </w:r>
      <w:r w:rsidRPr="00AF56D5">
        <w:t xml:space="preserve"> RAIMONDO-2016 </w:t>
      </w:r>
      <w:r w:rsidRPr="00AF56D5">
        <w:rPr>
          <w:b/>
          <w:bCs/>
        </w:rPr>
        <w:t>Authors_Year:</w:t>
      </w:r>
      <w:r w:rsidRPr="00AF56D5">
        <w:t xml:space="preserve"> Raimondo 2016 </w:t>
      </w:r>
      <w:r w:rsidRPr="00AF56D5">
        <w:rPr>
          <w:b/>
          <w:bCs/>
        </w:rPr>
        <w:t>Model_Specification:</w:t>
      </w:r>
      <w:r w:rsidRPr="00AF56D5">
        <w:t xml:space="preserve"> Three specifications: (1) OLS regression of project outcome (6-pt scale) on M&amp;E quality (4-pt Likert) with project-level and country-level controls; (2) Ordered logit (confirms OLS); (3) PSM binary treatment (good/poor M&amp;E dichotomized at modest/substantial midpoint), using nearest-neighbour greedy matching, Mahalanobis distance, and kernel matching with bootstrapping, plus multivalued PSM via IPWRA (multinomial logit) for dosage effects; (4) Conditional (fixed-effect) logistic regression grouping projects by TTL ID—uses within-manager variation to estimate M&amp;E quality effect. </w:t>
      </w:r>
      <w:r w:rsidRPr="00AF56D5">
        <w:rPr>
          <w:b/>
          <w:bCs/>
        </w:rPr>
        <w:t>Identification_Strategy:</w:t>
      </w:r>
      <w:r w:rsidRPr="00AF56D5">
        <w:t xml:space="preserve"> Propensity Score Matching as quasi-experimental primary strategy—matches treated projects (good M&amp;E) to controls (poor M&amp;E) on observable confounders to approximate random assignment; multivalued treatment extension to test dosage effects; TTL fixed effects to absorb manager quality confounding; second outcome measure (ICR self-evaluation) to reduce rater-effect mechanistic bias (M&amp;E rated ex-post by IEG; ICR rated ex-ante by project team). CIA assumed conditional on observed controls. </w:t>
      </w:r>
      <w:r w:rsidRPr="00AF56D5">
        <w:rPr>
          <w:b/>
          <w:bCs/>
        </w:rPr>
        <w:t>Control_Variables:</w:t>
      </w:r>
      <w:r w:rsidRPr="00AF56D5">
        <w:t xml:space="preserve"> Project size (log USD committed); expected project duration; number of TTLs (managerial turnover); sector dummies (full set); year of evaluation dummies; type of lending agreement; quality of supervision (IEG-rated); quality at entry (IEG-rated); country government effectiveness (from project evaluation dataset); implementing agent performance; Country Policy and Institutional Assessment (CPIA) annual average over project years. </w:t>
      </w:r>
      <w:r w:rsidRPr="00AF56D5">
        <w:rPr>
          <w:b/>
          <w:bCs/>
        </w:rPr>
        <w:t>Fixed_Effects:</w:t>
      </w:r>
      <w:r w:rsidRPr="00AF56D5">
        <w:t xml:space="preserve"> TTL (project manager) fixed effects in conditional logistic model; year-of-evaluation dummies in all models; sector dummies in all models. No country or region fixed effects explicitly reported. </w:t>
      </w:r>
      <w:r w:rsidRPr="00AF56D5">
        <w:rPr>
          <w:b/>
          <w:bCs/>
        </w:rPr>
        <w:t>Standard_Errors:</w:t>
      </w:r>
      <w:r w:rsidRPr="00AF56D5">
        <w:t xml:space="preserve"> Not explicitly specified; large sample (n=1,385) means </w:t>
      </w:r>
      <w:r w:rsidRPr="00AF56D5">
        <w:lastRenderedPageBreak/>
        <w:t xml:space="preserve">precision is high; bootstrap standard errors used in PSM kernel matching; no clustering reported (potential issue if projects cluster by country/TTL). </w:t>
      </w:r>
      <w:r w:rsidRPr="00AF56D5">
        <w:rPr>
          <w:b/>
          <w:bCs/>
        </w:rPr>
        <w:t>Main_Coefficient:</w:t>
      </w:r>
      <w:r w:rsidRPr="00AF56D5">
        <w:t xml:space="preserve"> OLS Model 1 (no QE/supervision controls): 1-pt increase M&amp;E quality → +0.30 pts outcome (6-pt scale), p&lt;0.01. OLS Model 2 (with supervision + QE controls): +0.17 pts, p&lt;0.01 (same magnitude as supervision quality: +0.18). PSM ATT: statistically significant positive treatment effect (exact magnitude in appendix tables not captured in extracted text). ICR outcome: +0.12 in Model 1 (weaker, positive). </w:t>
      </w:r>
      <w:r w:rsidRPr="00AF56D5">
        <w:rPr>
          <w:b/>
          <w:bCs/>
        </w:rPr>
        <w:t>Robustness_Tests:</w:t>
      </w:r>
      <w:r w:rsidRPr="00AF56D5">
        <w:t xml:space="preserve"> (1) Multiple PSM specifications (greedy, Mahalanobis, kernel); (2) multivalued treatment (IPWRA) to test dosage; (3) conditional logistic with TTL FE; (4) ordered logit vs OLS; (5) dual outcome measures (IEG vs ICR). All consistently show positive significant association. </w:t>
      </w:r>
      <w:r w:rsidRPr="00AF56D5">
        <w:rPr>
          <w:b/>
          <w:bCs/>
        </w:rPr>
        <w:t>Bias_Acknowledged:</w:t>
      </w:r>
      <w:r w:rsidRPr="00AF56D5">
        <w:t xml:space="preserve"> (1) Endogeneity: IEG "no benefit of the doubt" rule may mechanistically link low M&amp;E quality to downgraded outcome rating (partially addressed by ICR measure); (2) Rater effects: same IEG validator rates both M&amp;E quality and outcome (partially mitigated by dual-outcome strategy); (3) Unobserved confounders (e.g., project complexity, political context) not fully controlled; (4) CIA may not hold if unobservable factors drive both M&amp;E quality and outcomes; (5) Risk of Type I error due to large n. </w:t>
      </w:r>
      <w:r w:rsidRPr="00AF56D5">
        <w:rPr>
          <w:b/>
          <w:bCs/>
        </w:rPr>
        <w:t>Bias_NOT_Addressed:</w:t>
      </w:r>
      <w:r w:rsidRPr="00AF56D5">
        <w:t xml:space="preserve"> Selection on unobservables (no instrument; no discontinuity design); cannot rule out that better projects simply attract better M&amp;E investment rather than M&amp;E causing better outcomes; country/region clustering of standard errors not reported; no pre-period parallel trends test; mechanistic rater-halo effect between M&amp;E quality and IEG outcome not fully severed even with ICR measure (IEG validators may use ICR as anchor). </w:t>
      </w:r>
      <w:r w:rsidRPr="00AF56D5">
        <w:rPr>
          <w:b/>
          <w:bCs/>
        </w:rPr>
        <w:t>Data_Source_Detail:</w:t>
      </w:r>
      <w:r w:rsidRPr="00AF56D5">
        <w:t xml:space="preserve"> IEG (Independent Evaluation Group) internal project performance rating database; IEG M&amp;E quality ratings introduced systematically in 2006; 2-year lag applied (data from Jan 2008); WB investment loan projects only (DPLs excluded); projects with IEG evaluation completed Jan 2008–Dec 2014; CPIA data from World Bank; TTL IDs from WB HR system. </w:t>
      </w:r>
      <w:r w:rsidRPr="00AF56D5">
        <w:rPr>
          <w:b/>
          <w:bCs/>
        </w:rPr>
        <w:t>Sample_Restrictions:</w:t>
      </w:r>
      <w:r w:rsidRPr="00AF56D5">
        <w:t xml:space="preserve"> (1) Investment loans only (DPLs excluded for incomparability); (2) Only projects with IEG M&amp;E quality rating available (M&amp;E rated from 2006 onward; 2-year calibration lag); (3) IEG-evaluated projects only (not all closed projects); (4) No sector exclusions (full sector range); (5) Final n=1,385 (down from 1,683 with M&amp;E ratings); restriction to common support in PSM. </w:t>
      </w:r>
      <w:r w:rsidRPr="00AF56D5">
        <w:rPr>
          <w:b/>
          <w:bCs/>
        </w:rPr>
        <w:t>Cross_Institution:</w:t>
      </w:r>
      <w:r w:rsidRPr="00AF56D5">
        <w:t xml:space="preserve"> World Bank only (IBRD/IDA investment lending). No cross-institution comparison. Gap for cross-MDB generalizability. </w:t>
      </w:r>
      <w:r w:rsidRPr="00AF56D5">
        <w:rPr>
          <w:b/>
          <w:bCs/>
        </w:rPr>
        <w:t>Heterogeneity_Tests:</w:t>
      </w:r>
      <w:r w:rsidRPr="00AF56D5">
        <w:t xml:space="preserve"> Multivalued treatment (dosage analysis: negligible, modest, substantial, high M&amp;E quality separately estimated)—shows increasing returns to M&amp;E quality. No explicit sector-by-sector heterogeneity table reported in extracted text; sector dummies included as controls but not interacted. No region-level or income-group heterogeneity analysis reported. </w:t>
      </w:r>
      <w:r w:rsidRPr="00AF56D5">
        <w:rPr>
          <w:b/>
          <w:bCs/>
        </w:rPr>
        <w:t>Your_Advance:</w:t>
      </w:r>
      <w:r w:rsidRPr="00AF56D5">
        <w:t xml:space="preserve"> (1) Your study uses full composite QE score (not just M&amp;E sub-component) → more comprehensive design-quality predictor; (2) N=12,328 vs 1,385 (9× larger, all IEG-evaluated WB investment projects, not limited to M&amp;E-rated subset post-2008); (3) OR=27.8 provides intuitive, policy-relevant effect-size metric vs abstract OLS </w:t>
      </w:r>
      <w:r w:rsidRPr="00AF56D5">
        <w:lastRenderedPageBreak/>
        <w:t xml:space="preserve">coefficient; (4) Binary outcome framing (satisfactory/unsatisfactory) vs 6-point scale makes the result actionable; (5) Your data span a longer period and include pre-2008 projects; (6) Cross-institutional generalizability potentially addressable through WB data breadth. </w:t>
      </w:r>
      <w:r w:rsidRPr="00AF56D5">
        <w:rPr>
          <w:b/>
          <w:bCs/>
        </w:rPr>
        <w:t>Quote_For_Paper:</w:t>
      </w:r>
      <w:r w:rsidRPr="00AF56D5">
        <w:t xml:space="preserve"> "A one point increase in M&amp;E quality is associated with a 0.17 increase in project performance. This magnitude of association is on par with the effect size of the quality of supervision (0.18 points), which was found in previous work to be a critical determinant of project success." (Raimondo, 2016, p. 17)</w:t>
      </w:r>
    </w:p>
    <w:p w14:paraId="339D264F" w14:textId="77777777" w:rsidR="00AF56D5" w:rsidRPr="00AF56D5" w:rsidRDefault="00AF56D5" w:rsidP="00AF56D5">
      <w:r w:rsidRPr="00AF56D5">
        <w:pict w14:anchorId="6400650A">
          <v:rect id="_x0000_i1079" style="width:0;height:1.5pt" o:hralign="center" o:hrstd="t" o:hr="t" fillcolor="#a0a0a0" stroked="f"/>
        </w:pict>
      </w:r>
    </w:p>
    <w:p w14:paraId="2ED3819D" w14:textId="77777777" w:rsidR="00AF56D5" w:rsidRPr="00AF56D5" w:rsidRDefault="00AF56D5" w:rsidP="00AF56D5">
      <w:pPr>
        <w:rPr>
          <w:b/>
          <w:bCs/>
        </w:rPr>
      </w:pPr>
      <w:r w:rsidRPr="00AF56D5">
        <w:rPr>
          <w:b/>
          <w:bCs/>
        </w:rPr>
        <w:t>STREAM SUMMARY — IEG Self-Evaluation Stream</w:t>
      </w:r>
    </w:p>
    <w:p w14:paraId="03202082" w14:textId="77777777" w:rsidR="00AF56D5" w:rsidRPr="00AF56D5" w:rsidRDefault="00AF56D5" w:rsidP="00AF56D5">
      <w:r w:rsidRPr="00AF56D5">
        <w:rPr>
          <w:b/>
          <w:bCs/>
        </w:rPr>
        <w:t>n included / n excluded:</w:t>
      </w:r>
      <w:r w:rsidRPr="00AF56D5">
        <w:t xml:space="preserve"> 3 included / 10 excluded</w:t>
      </w:r>
    </w:p>
    <w:p w14:paraId="028BBEBF" w14:textId="77777777" w:rsidR="00AF56D5" w:rsidRPr="00AF56D5" w:rsidRDefault="00AF56D5" w:rsidP="00AF56D5">
      <w:r w:rsidRPr="00AF56D5">
        <w:rPr>
          <w:b/>
          <w:bCs/>
        </w:rPr>
        <w:t>Stream gap confirmed:</w:t>
      </w:r>
      <w:r w:rsidRPr="00AF56D5">
        <w:t xml:space="preserve"> Existing IEG self-evaluation literature establishes that M&amp;E quality (a sub-component of quality at entry) and supervision quality predict World Bank project development outcomes, but no study has used the full composite IEG quality-at-entry (QE) score as the primary predictor across the complete historical portfolio of WB investment projects (N≈12,000+), nor has any study quantified this relationship as an odds ratio enabling a direct, threshold-based policy interpretation of satisfactory/unsatisfactory outcome probability.</w:t>
      </w:r>
    </w:p>
    <w:p w14:paraId="46215C9C" w14:textId="77777777" w:rsidR="00AF56D5" w:rsidRPr="00AF56D5" w:rsidRDefault="00AF56D5" w:rsidP="00AF56D5">
      <w:r w:rsidRPr="00AF56D5">
        <w:rPr>
          <w:b/>
          <w:bCs/>
        </w:rPr>
        <w:t>Top 3 forward citations to chase:</w:t>
      </w:r>
    </w:p>
    <w:p w14:paraId="08EAB87E" w14:textId="77777777" w:rsidR="00AF56D5" w:rsidRPr="00AF56D5" w:rsidRDefault="00AF56D5" w:rsidP="00AF56D5">
      <w:pPr>
        <w:numPr>
          <w:ilvl w:val="0"/>
          <w:numId w:val="1"/>
        </w:numPr>
      </w:pPr>
      <w:r w:rsidRPr="00AF56D5">
        <w:rPr>
          <w:b/>
          <w:bCs/>
        </w:rPr>
        <w:t>Denizer, Kaufmann &amp; Kraay (2013)</w:t>
      </w:r>
      <w:r w:rsidRPr="00AF56D5">
        <w:t xml:space="preserve"> — "Good Countries or Good Projects? Macro and Micro Correlates of World Bank Project Performance." </w:t>
      </w:r>
      <w:r w:rsidRPr="00AF56D5">
        <w:rPr>
          <w:i/>
          <w:iCs/>
        </w:rPr>
        <w:t>Journal of Development Economics</w:t>
      </w:r>
      <w:r w:rsidRPr="00AF56D5">
        <w:t xml:space="preserve"> 105: 288–302. [Directly cited by Raimondo 2016 as establishing project-level vs country-level determinants with the largest WB project-performance dataset before yours; they find project-level factors dominate—foundational for your model specification.]</w:t>
      </w:r>
    </w:p>
    <w:p w14:paraId="2FB47438" w14:textId="77777777" w:rsidR="00AF56D5" w:rsidRPr="00AF56D5" w:rsidRDefault="00AF56D5" w:rsidP="00AF56D5">
      <w:pPr>
        <w:numPr>
          <w:ilvl w:val="0"/>
          <w:numId w:val="1"/>
        </w:numPr>
      </w:pPr>
      <w:r w:rsidRPr="00AF56D5">
        <w:rPr>
          <w:b/>
          <w:bCs/>
        </w:rPr>
        <w:t>Bulman, Kolkma &amp; Kraay (2015)</w:t>
      </w:r>
      <w:r w:rsidRPr="00AF56D5">
        <w:t xml:space="preserve"> — "Good Countries or Good Borrowers? Revisiting the Correlates of World Bank Project Outcomes." World Bank Policy Research Working Paper WPS7321. [Directly cited by Raimondo 2016; addresses TTL/manager effects and outcome-rating measurement issues with the same IEG database—critical for your methodological chapter.]</w:t>
      </w:r>
    </w:p>
    <w:p w14:paraId="38DB55E5" w14:textId="77777777" w:rsidR="00AF56D5" w:rsidRPr="00AF56D5" w:rsidRDefault="00AF56D5" w:rsidP="00AF56D5">
      <w:pPr>
        <w:numPr>
          <w:ilvl w:val="0"/>
          <w:numId w:val="1"/>
        </w:numPr>
      </w:pPr>
      <w:r w:rsidRPr="00AF56D5">
        <w:rPr>
          <w:b/>
          <w:bCs/>
        </w:rPr>
        <w:t>Isham, Kaufmann &amp; Pritchett (1997)</w:t>
      </w:r>
      <w:r w:rsidRPr="00AF56D5">
        <w:t xml:space="preserve"> — "Civil Liberties, Democracy, and the Performance of Government Projects." </w:t>
      </w:r>
      <w:r w:rsidRPr="00AF56D5">
        <w:rPr>
          <w:i/>
          <w:iCs/>
        </w:rPr>
        <w:t>World Bank Economic Review</w:t>
      </w:r>
      <w:r w:rsidRPr="00AF56D5">
        <w:t xml:space="preserve"> 11(2): 219–242. [Foundational project-performance paper using WB project ratings to identify country-level governance → outcomes; establishes the project-rating methodology and outcome-variable validity your study inherits.]</w:t>
      </w:r>
    </w:p>
    <w:p w14:paraId="517B0BF4" w14:textId="77777777" w:rsidR="00AF56D5" w:rsidRPr="00AF56D5" w:rsidRDefault="00AF56D5" w:rsidP="00AF56D5">
      <w:r w:rsidRPr="00AF56D5">
        <w:pict w14:anchorId="7E312D2A">
          <v:rect id="_x0000_i1080" style="width:0;height:1.5pt" o:hralign="center" o:hrstd="t" o:hr="t" fillcolor="#a0a0a0" stroked="f"/>
        </w:pict>
      </w:r>
    </w:p>
    <w:p w14:paraId="788680B4" w14:textId="77777777" w:rsidR="00AF56D5" w:rsidRPr="00AF56D5" w:rsidRDefault="00AF56D5" w:rsidP="00AF56D5">
      <w:r w:rsidRPr="00AF56D5">
        <w:rPr>
          <w:b/>
          <w:bCs/>
        </w:rPr>
        <w:t>Copy-paste ready output for Synthesis Project:</w:t>
      </w:r>
    </w:p>
    <w:p w14:paraId="5B047D43" w14:textId="77777777" w:rsidR="00AF56D5" w:rsidRPr="00AF56D5" w:rsidRDefault="00AF56D5" w:rsidP="00AF56D5">
      <w:r w:rsidRPr="00AF56D5">
        <w:lastRenderedPageBreak/>
        <w:t>The IEG Self-Evaluation stream (3 papers included) documents the institutional basis and partial empirical evidence for design quality predicting development project outcomes. IEG (2013/RAP 2012) provides institutional confirmation that quality at entry and supervision quality are primary Bank-controllable determinants of WB/IFC project outcomes (IFC regression: n=657 XPSRs</w:t>
      </w:r>
      <w:proofErr w:type="gramStart"/>
      <w:r w:rsidRPr="00AF56D5">
        <w:t>), but</w:t>
      </w:r>
      <w:proofErr w:type="gramEnd"/>
      <w:r w:rsidRPr="00AF56D5">
        <w:t xml:space="preserve"> omits a rigorous causal model for the WB IBRD/IDA investment portfolio. Raimondo (2016; n=1,385) fills part of this gap using PSM and TTL fixed effects, finding that a one-unit increase in M&amp;E quality (a QE sub-component) raises project performance by 0.17–0.30 points (6-point scale), significant at 1%, comparable in magnitude to supervision quality—yet is restricted to the post-2008 M&amp;E-rated sub-sample and uses a single design sub-component rather than the full QE composite. Wessal et al. (2015) corroborate the M&amp;E design → outcome correlation for WB education projects without providing regression coefficients or a causal identification strategy. Collectively, the stream establishes the IEG rating apparatus as a valid outcome measure, confirms design quality is a significant predictor, and leaves the specific gap your dissertation fills: no study has applied the full IEG quality-at-entry composite score to the complete historical WB investment project population (N=12,328) to estimate the odds of a satisfactory outcome, producing OR=27.8 as the key result.</w:t>
      </w:r>
    </w:p>
    <w:p w14:paraId="51A7B1BA" w14:textId="77777777" w:rsidR="00203FFF" w:rsidRDefault="00203FFF"/>
    <w:sectPr w:rsidR="00203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D0B66"/>
    <w:multiLevelType w:val="multilevel"/>
    <w:tmpl w:val="F0BE3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3819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6D5"/>
    <w:rsid w:val="00093EDA"/>
    <w:rsid w:val="00203FFF"/>
    <w:rsid w:val="005D6895"/>
    <w:rsid w:val="00AF56D5"/>
    <w:rsid w:val="00DF0EFA"/>
    <w:rsid w:val="00E266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1C826"/>
  <w15:chartTrackingRefBased/>
  <w15:docId w15:val="{33FAFA64-9F3E-4295-A32A-BDDF6D45E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6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6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6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6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6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6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6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6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6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6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6D5"/>
    <w:rPr>
      <w:rFonts w:eastAsiaTheme="majorEastAsia" w:cstheme="majorBidi"/>
      <w:color w:val="272727" w:themeColor="text1" w:themeTint="D8"/>
    </w:rPr>
  </w:style>
  <w:style w:type="paragraph" w:styleId="Title">
    <w:name w:val="Title"/>
    <w:basedOn w:val="Normal"/>
    <w:next w:val="Normal"/>
    <w:link w:val="TitleChar"/>
    <w:uiPriority w:val="10"/>
    <w:qFormat/>
    <w:rsid w:val="00AF5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6D5"/>
    <w:pPr>
      <w:spacing w:before="160"/>
      <w:jc w:val="center"/>
    </w:pPr>
    <w:rPr>
      <w:i/>
      <w:iCs/>
      <w:color w:val="404040" w:themeColor="text1" w:themeTint="BF"/>
    </w:rPr>
  </w:style>
  <w:style w:type="character" w:customStyle="1" w:styleId="QuoteChar">
    <w:name w:val="Quote Char"/>
    <w:basedOn w:val="DefaultParagraphFont"/>
    <w:link w:val="Quote"/>
    <w:uiPriority w:val="29"/>
    <w:rsid w:val="00AF56D5"/>
    <w:rPr>
      <w:i/>
      <w:iCs/>
      <w:color w:val="404040" w:themeColor="text1" w:themeTint="BF"/>
    </w:rPr>
  </w:style>
  <w:style w:type="paragraph" w:styleId="ListParagraph">
    <w:name w:val="List Paragraph"/>
    <w:basedOn w:val="Normal"/>
    <w:uiPriority w:val="34"/>
    <w:qFormat/>
    <w:rsid w:val="00AF56D5"/>
    <w:pPr>
      <w:ind w:left="720"/>
      <w:contextualSpacing/>
    </w:pPr>
  </w:style>
  <w:style w:type="character" w:styleId="IntenseEmphasis">
    <w:name w:val="Intense Emphasis"/>
    <w:basedOn w:val="DefaultParagraphFont"/>
    <w:uiPriority w:val="21"/>
    <w:qFormat/>
    <w:rsid w:val="00AF56D5"/>
    <w:rPr>
      <w:i/>
      <w:iCs/>
      <w:color w:val="0F4761" w:themeColor="accent1" w:themeShade="BF"/>
    </w:rPr>
  </w:style>
  <w:style w:type="paragraph" w:styleId="IntenseQuote">
    <w:name w:val="Intense Quote"/>
    <w:basedOn w:val="Normal"/>
    <w:next w:val="Normal"/>
    <w:link w:val="IntenseQuoteChar"/>
    <w:uiPriority w:val="30"/>
    <w:qFormat/>
    <w:rsid w:val="00AF5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6D5"/>
    <w:rPr>
      <w:i/>
      <w:iCs/>
      <w:color w:val="0F4761" w:themeColor="accent1" w:themeShade="BF"/>
    </w:rPr>
  </w:style>
  <w:style w:type="character" w:styleId="IntenseReference">
    <w:name w:val="Intense Reference"/>
    <w:basedOn w:val="DefaultParagraphFont"/>
    <w:uiPriority w:val="32"/>
    <w:qFormat/>
    <w:rsid w:val="00AF56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2389</Words>
  <Characters>13954</Characters>
  <Application>Microsoft Office Word</Application>
  <DocSecurity>0</DocSecurity>
  <Lines>240</Lines>
  <Paragraphs>166</Paragraphs>
  <ScaleCrop>false</ScaleCrop>
  <Company/>
  <LinksUpToDate>false</LinksUpToDate>
  <CharactersWithSpaces>16177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Lixin Liu</dc:creator>
  <cp:keywords/>
  <dc:description/>
  <cp:lastModifiedBy>Lixin Liu</cp:lastModifiedBy>
  <cp:revision>1</cp:revision>
  <dcterms:created xsi:type="dcterms:W3CDTF">2026-02-23T00:58:00Z</dcterms:created>
  <dcterms:modified xsi:type="dcterms:W3CDTF">2026-02-23T01:02:00Z</dcterms:modified>
</cp:coreProperties>
</file>