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 w:after="80"/>
        <w:jc w:val="left"/>
      </w:pPr>
      <w:r>
        <w:rPr>
          <w:rFonts w:ascii="Arial" w:cs="Arial" w:eastAsia="Arial" w:hAnsi="Arial"/>
          <w:b w:val="false"/>
          <w:bCs w:val="false"/>
          <w:i w:val="false"/>
          <w:iCs w:val="false"/>
          <w:color w:val="000000"/>
          <w:sz w:val="14"/>
          <w:szCs w:val="14"/>
        </w:rPr>
        <w:t xml:space="preserve"> </w:t>
      </w:r>
    </w:p>
    <w:p>
      <w:pPr>
        <w:spacing w:before="120" w:after="60"/>
        <w:jc w:val="center"/>
      </w:pPr>
      <w:r>
        <w:rPr>
          <w:rFonts w:ascii="Arial" w:cs="Arial" w:eastAsia="Arial" w:hAnsi="Arial"/>
          <w:b/>
          <w:bCs/>
          <w:color w:val="1F3864"/>
          <w:sz w:val="72"/>
          <w:szCs w:val="72"/>
        </w:rPr>
        <w:t xml:space="preserve">LSR STREAM EXTENSION</w:t>
      </w:r>
    </w:p>
    <w:p>
      <w:pPr>
        <w:spacing w:before="0" w:after="40"/>
        <w:jc w:val="center"/>
      </w:pPr>
      <w:r>
        <w:rPr>
          <w:rFonts w:ascii="Arial" w:cs="Arial" w:eastAsia="Arial" w:hAnsi="Arial"/>
          <w:b/>
          <w:bCs/>
          <w:color w:val="2E75B6"/>
          <w:sz w:val="32"/>
          <w:szCs w:val="32"/>
        </w:rPr>
        <w:t xml:space="preserve">Streams 22–26: Infrastructure Cost Overrun Prediction (OCDI Framework)</w:t>
      </w:r>
    </w:p>
    <w:p>
      <w:pPr>
        <w:spacing w:before="0" w:after="20"/>
        <w:jc w:val="center"/>
      </w:pPr>
      <w:r>
        <w:rPr>
          <w:rFonts w:ascii="Arial" w:cs="Arial" w:eastAsia="Arial" w:hAnsi="Arial"/>
          <w:color w:val="595959"/>
          <w:sz w:val="20"/>
          <w:szCs w:val="20"/>
        </w:rPr>
        <w:t xml:space="preserve">Brandon, S.  |  QUT / Griffith University  |  February 2026  |  SSRN: 7801909</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D6E4F0" w:val="clear"/>
            <w:tcMar>
              <w:top w:type="dxa" w:w="120"/>
              <w:left w:type="dxa" w:w="180"/>
              <w:bottom w:type="dxa" w:w="120"/>
              <w:right w:type="dxa" w:w="180"/>
            </w:tcMar>
          </w:tcPr>
          <w:p>
            <w:pPr>
              <w:spacing w:before="50" w:after="50"/>
            </w:pPr>
            <w:r>
              <w:rPr>
                <w:rFonts w:ascii="Arial" w:cs="Arial" w:eastAsia="Arial" w:hAnsi="Arial"/>
                <w:color w:val="1F3864"/>
                <w:sz w:val="18"/>
                <w:szCs w:val="18"/>
              </w:rPr>
              <w:t xml:space="preserve">PURPOSE: These five streams provide the literature foundation for the OCDI</w:t>
            </w:r>
          </w:p>
          <w:p>
            <w:pPr>
              <w:spacing w:before="50" w:after="50"/>
            </w:pPr>
            <w:r>
              <w:rPr>
                <w:rFonts w:ascii="Arial" w:cs="Arial" w:eastAsia="Arial" w:hAnsi="Arial"/>
                <w:color w:val="1F3864"/>
                <w:sz w:val="18"/>
                <w:szCs w:val="18"/>
              </w:rPr>
              <w:t xml:space="preserve">(Objective Cost Design Index) — the developed-nation infrastructure extension</w:t>
            </w:r>
          </w:p>
          <w:p>
            <w:pPr>
              <w:spacing w:before="50" w:after="50"/>
            </w:pPr>
            <w:r>
              <w:rPr>
                <w:rFonts w:ascii="Arial" w:cs="Arial" w:eastAsia="Arial" w:hAnsi="Arial"/>
                <w:color w:val="1F3864"/>
                <w:sz w:val="18"/>
                <w:szCs w:val="18"/>
              </w:rPr>
              <w:t xml:space="preserve">of the ODQI/LSR framework. Each stream isolates a gap that the OCDI fills,</w:t>
            </w:r>
          </w:p>
          <w:p>
            <w:pPr>
              <w:spacing w:before="50" w:after="50"/>
            </w:pPr>
            <w:r>
              <w:rPr>
                <w:rFonts w:ascii="Arial" w:cs="Arial" w:eastAsia="Arial" w:hAnsi="Arial"/>
                <w:color w:val="1F3864"/>
                <w:sz w:val="18"/>
                <w:szCs w:val="18"/>
              </w:rPr>
              <w:t xml:space="preserve">exactly as Streams 01–21 isolate gaps the QE→Outcome finding fills.</w:t>
            </w:r>
          </w:p>
          <w:p>
            <w:pPr>
              <w:spacing w:before="50" w:after="50"/>
            </w:pPr>
            <w:r>
              <w:rPr>
                <w:rFonts w:ascii="Arial" w:cs="Arial" w:eastAsia="Arial" w:hAnsi="Arial"/>
                <w:color w:val="1F3864"/>
                <w:sz w:val="18"/>
                <w:szCs w:val="18"/>
              </w:rPr>
              <w:t xml:space="preserve"/>
            </w:r>
          </w:p>
          <w:p>
            <w:pPr>
              <w:spacing w:before="50" w:after="50"/>
            </w:pPr>
            <w:r>
              <w:rPr>
                <w:rFonts w:ascii="Arial" w:cs="Arial" w:eastAsia="Arial" w:hAnsi="Arial"/>
                <w:color w:val="1F3864"/>
                <w:sz w:val="18"/>
                <w:szCs w:val="18"/>
              </w:rPr>
              <w:t xml:space="preserve">FORMAT: Identical to existing 21 streams. Paste universal coding prompt from</w:t>
            </w:r>
          </w:p>
          <w:p>
            <w:pPr>
              <w:spacing w:before="50" w:after="50"/>
            </w:pPr>
            <w:r>
              <w:rPr>
                <w:rFonts w:ascii="Arial" w:cs="Arial" w:eastAsia="Arial" w:hAnsi="Arial"/>
                <w:color w:val="1F3864"/>
                <w:sz w:val="18"/>
                <w:szCs w:val="18"/>
              </w:rPr>
              <w:t xml:space="preserve">Stream 01–21 reference into each new project. Same Tab A / Tab B / Tab C logic.</w:t>
            </w:r>
          </w:p>
          <w:p>
            <w:pPr>
              <w:spacing w:before="50" w:after="50"/>
            </w:pPr>
            <w:r>
              <w:rPr>
                <w:rFonts w:ascii="Arial" w:cs="Arial" w:eastAsia="Arial" w:hAnsi="Arial"/>
                <w:color w:val="1F3864"/>
                <w:sz w:val="18"/>
                <w:szCs w:val="18"/>
              </w:rPr>
              <w:t xml:space="preserve"/>
            </w:r>
          </w:p>
          <w:p>
            <w:pPr>
              <w:spacing w:before="50" w:after="50"/>
            </w:pPr>
            <w:r>
              <w:rPr>
                <w:rFonts w:ascii="Arial" w:cs="Arial" w:eastAsia="Arial" w:hAnsi="Arial"/>
                <w:color w:val="1F3864"/>
                <w:sz w:val="18"/>
                <w:szCs w:val="18"/>
              </w:rPr>
              <w:t xml:space="preserve">STREAM OVERVIEW:</w:t>
            </w:r>
          </w:p>
          <w:p>
            <w:pPr>
              <w:spacing w:before="50" w:after="50"/>
            </w:pPr>
            <w:r>
              <w:rPr>
                <w:rFonts w:ascii="Arial" w:cs="Arial" w:eastAsia="Arial" w:hAnsi="Arial"/>
                <w:color w:val="1F3864"/>
                <w:sz w:val="18"/>
                <w:szCs w:val="18"/>
              </w:rPr>
              <w:t xml:space="preserve">22 — Infrastructure Cost Overrun Literature (Flyvbjerg core)</w:t>
            </w:r>
          </w:p>
          <w:p>
            <w:pPr>
              <w:spacing w:before="50" w:after="50"/>
            </w:pPr>
            <w:r>
              <w:rPr>
                <w:rFonts w:ascii="Arial" w:cs="Arial" w:eastAsia="Arial" w:hAnsi="Arial"/>
                <w:color w:val="1F3864"/>
                <w:sz w:val="18"/>
                <w:szCs w:val="18"/>
              </w:rPr>
              <w:t xml:space="preserve">23 — Reference Class Forecasting &amp; Optimism Bias</w:t>
            </w:r>
          </w:p>
          <w:p>
            <w:pPr>
              <w:spacing w:before="50" w:after="50"/>
            </w:pPr>
            <w:r>
              <w:rPr>
                <w:rFonts w:ascii="Arial" w:cs="Arial" w:eastAsia="Arial" w:hAnsi="Arial"/>
                <w:color w:val="1F3864"/>
                <w:sz w:val="18"/>
                <w:szCs w:val="18"/>
              </w:rPr>
              <w:t xml:space="preserve">24 — Procurement Architecture &amp; Contractor Behaviour</w:t>
            </w:r>
          </w:p>
          <w:p>
            <w:pPr>
              <w:spacing w:before="50" w:after="50"/>
            </w:pPr>
            <w:r>
              <w:rPr>
                <w:rFonts w:ascii="Arial" w:cs="Arial" w:eastAsia="Arial" w:hAnsi="Arial"/>
                <w:color w:val="1F3864"/>
                <w:sz w:val="18"/>
                <w:szCs w:val="18"/>
              </w:rPr>
              <w:t xml:space="preserve">25 — Political Economy of Infrastructure Approval</w:t>
            </w:r>
          </w:p>
          <w:p>
            <w:pPr>
              <w:spacing w:before="50" w:after="50"/>
            </w:pPr>
            <w:r>
              <w:rPr>
                <w:rFonts w:ascii="Arial" w:cs="Arial" w:eastAsia="Arial" w:hAnsi="Arial"/>
                <w:color w:val="1F3864"/>
                <w:sz w:val="18"/>
                <w:szCs w:val="18"/>
              </w:rPr>
              <w:t xml:space="preserve">26 — NCT / Systems Dynamics / Collapse Theory (model foundations)</w:t>
            </w:r>
          </w:p>
        </w:tc>
      </w:tr>
    </w:tbl>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600"/>
        <w:gridCol w:w="2400"/>
        <w:gridCol w:w="15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Stream</w:t>
            </w:r>
          </w:p>
        </w:tc>
        <w:tc>
          <w:tcPr>
            <w:tcW w:type="dxa" w:w="2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Target Gap</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Top Search String</w:t>
            </w:r>
          </w:p>
        </w:tc>
        <w:tc>
          <w:tcPr>
            <w:tcW w:type="dxa" w:w="1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Tier</w:t>
            </w:r>
          </w:p>
        </w:tc>
      </w:tr>
      <w:tr>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22</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Infrastructure Cost Overrun</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No portfolio-scale model predicts cost overrun magnitude at submission stage from observable entry characteristics — only ex-post description exists.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Flyvbjerg 2022 megaprojects cost overrun prediction ex-ante</w:t>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OCDI CORE</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Reference Class Forecasting</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Reference class forecasting is theorised as the solution to optimism bias but has never been operationalised as a mandatory pre-approval scoring index with empirical validation.</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Flyvbjerg 2008 reference class forecasting optimism bias infrastructure</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OCDI CORE</w:t>
            </w:r>
          </w:p>
        </w:tc>
      </w:tr>
      <w:tr>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24</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Procurement Architecture</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The procurement literature documents underbidding and change order strategies but has never constructed a contractor-level intent index predictive of overrun magnitude at submission.</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Bajari McMillan Tadelis 2009 underbidding procurement change orders</w:t>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OCDI METHODS</w:t>
            </w:r>
          </w:p>
        </w:tc>
      </w:tr>
      <w:tr>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Political Economy of Approval</w:t>
            </w:r>
          </w:p>
        </w:tc>
        <w:tc>
          <w:tcPr>
            <w:tcW w:type="dxa" w:w="2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The political economy literature shows elections distort approval-stage cost estimates but has not quantified the electoral cycle effect as a measurable component of a pre-approval prediction model.</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Flyvbjerg Holm Buhl 2002 underestimation deliberate deception megaprojects</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OCDI CONTEXT</w:t>
            </w:r>
          </w:p>
        </w:tc>
      </w:tr>
      <w:tr>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26</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NCT / Systems Dynamics</w:t>
            </w:r>
          </w:p>
        </w:tc>
        <w:tc>
          <w:tcPr>
            <w:tcW w:type="dxa" w:w="2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The systems dynamics and collapse theory literature establishes universal scaling laws for complex system failure but has not applied them to infrastructure project cost dynamics or validated cross-domain constants.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Tainter 1988 collapse complex societies scaling laws systems</w:t>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MODEL FOUNDATION</w:t>
            </w:r>
          </w:p>
        </w:tc>
      </w:tr>
    </w:tbl>
    <w:p>
      <w:r>
        <w:br w:type="pag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center"/>
            </w:pPr>
            <w:r>
              <w:rPr>
                <w:rFonts w:ascii="Arial" w:cs="Arial" w:eastAsia="Arial" w:hAnsi="Arial"/>
                <w:b/>
                <w:bCs/>
                <w:i w:val="false"/>
                <w:iCs w:val="false"/>
                <w:color w:val="FFFFFF"/>
                <w:sz w:val="28"/>
                <w:szCs w:val="28"/>
              </w:rPr>
              <w:t xml:space="preserve">STREAM
22</w:t>
            </w:r>
          </w:p>
        </w:tc>
        <w:tc>
          <w:tcPr>
            <w:tcW w:type="dxa" w:w="8460"/>
            <w:tcBorders>
              <w:top w:val="single" w:color="1F3864" w:sz="1"/>
              <w:left w:val="single" w:color="1F3864" w:sz="1"/>
              <w:bottom w:val="single" w:color="1F3864" w:sz="1"/>
              <w:right w:val="single" w:color="1F3864" w:sz="1"/>
            </w:tcBorders>
            <w:shd w:fill="D6E4F0" w:val="clear"/>
            <w:tcMar>
              <w:top w:type="dxa" w:w="100"/>
              <w:left w:type="dxa" w:w="180"/>
              <w:bottom w:type="dxa" w:w="100"/>
              <w:right w:type="dxa" w:w="180"/>
            </w:tcMar>
          </w:tcPr>
          <w:p>
            <w:pPr>
              <w:spacing w:before="40" w:after="20"/>
              <w:jc w:val="left"/>
            </w:pPr>
            <w:r>
              <w:rPr>
                <w:rFonts w:ascii="Arial" w:cs="Arial" w:eastAsia="Arial" w:hAnsi="Arial"/>
                <w:b/>
                <w:bCs/>
                <w:i w:val="false"/>
                <w:iCs w:val="false"/>
                <w:color w:val="1F3864"/>
                <w:sz w:val="32"/>
                <w:szCs w:val="32"/>
              </w:rPr>
              <w:t xml:space="preserve">INFRASTRUCTURE COST OVERRUN LITERATURE</w:t>
            </w:r>
          </w:p>
          <w:p>
            <w:pPr>
              <w:spacing w:before="0" w:after="40"/>
              <w:jc w:val="left"/>
            </w:pPr>
            <w:r>
              <w:rPr>
                <w:rFonts w:ascii="Arial" w:cs="Arial" w:eastAsia="Arial" w:hAnsi="Arial"/>
                <w:b w:val="false"/>
                <w:bCs w:val="false"/>
                <w:i/>
                <w:iCs/>
                <w:color w:val="595959"/>
                <w:sz w:val="20"/>
                <w:szCs w:val="20"/>
              </w:rPr>
              <w:t xml:space="preserve">OCDI CORE | Extension of Streams 01–08</w:t>
            </w:r>
          </w:p>
        </w:tc>
      </w:tr>
    </w:tbl>
    <w:p>
      <w:pPr>
        <w:spacing w:before="60" w:after="60"/>
      </w:pPr>
      <w:r>
        <w:rPr>
          <w:sz w:val="14"/>
          <w:szCs w:val="14"/>
        </w:rPr>
        <w:t xml:space="preserve"> </w:t>
      </w:r>
    </w:p>
    <w:p>
      <w:pPr>
        <w:spacing w:before="180" w:after="60"/>
      </w:pPr>
      <w:r>
        <w:rPr>
          <w:rFonts w:ascii="Arial" w:cs="Arial" w:eastAsia="Arial" w:hAnsi="Arial"/>
          <w:b/>
          <w:bCs/>
          <w:color w:val="990000"/>
          <w:sz w:val="24"/>
          <w:szCs w:val="24"/>
        </w:rPr>
        <w:t xml:space="preserve">TARGET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43C0C" w:sz="1"/>
              <w:left w:val="single" w:color="843C0C" w:sz="1"/>
              <w:bottom w:val="single" w:color="843C0C" w:sz="1"/>
              <w:right w:val="single" w:color="843C0C" w:sz="1"/>
            </w:tcBorders>
            <w:shd w:fill="FCE4D6" w:val="clear"/>
            <w:tcMar>
              <w:top w:type="dxa" w:w="120"/>
              <w:left w:type="dxa" w:w="180"/>
              <w:bottom w:type="dxa" w:w="120"/>
              <w:right w:type="dxa" w:w="180"/>
            </w:tcMar>
          </w:tcPr>
          <w:p>
            <w:pPr>
              <w:spacing w:before="50" w:after="50"/>
            </w:pPr>
            <w:r>
              <w:rPr>
                <w:rFonts w:ascii="Arial" w:cs="Arial" w:eastAsia="Arial" w:hAnsi="Arial"/>
                <w:color w:val="843C0C"/>
                <w:sz w:val="18"/>
                <w:szCs w:val="18"/>
              </w:rPr>
              <w:t xml:space="preserve">No portfolio-scale empirical model predicts cost overrun magnitude at project submission stage from observable entry characteristics alone — the literature is almost entirely ex-post descriptive. Flyvbjerg establishes the pattern (86% overrun, mean 45% roads / 65% rail) but stops short of a pre-approval prediction instrument. The OCDI fills this gap.</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PROJECT NAME TO CREATE</w:t>
      </w:r>
    </w:p>
    <w:p>
      <w:pPr>
        <w:spacing w:before="80" w:after="80"/>
        <w:jc w:val="left"/>
      </w:pPr>
      <w:r>
        <w:rPr>
          <w:rFonts w:ascii="Arial" w:cs="Arial" w:eastAsia="Arial" w:hAnsi="Arial"/>
          <w:b/>
          <w:bCs/>
          <w:i w:val="false"/>
          <w:iCs w:val="false"/>
          <w:color w:val="2E75B6"/>
          <w:sz w:val="20"/>
          <w:szCs w:val="20"/>
        </w:rPr>
        <w:t xml:space="preserve">LSR — Stream 22: Infrastructure Cost Overrun</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SEARCH STRINGS (run in Google Scholar + Semantic Scholar)</w:t>
      </w:r>
    </w:p>
    <w:p>
      <w:pPr>
        <w:spacing w:before="60" w:after="0"/>
        <w:jc w:val="left"/>
      </w:pPr>
      <w:r>
        <w:rPr>
          <w:rFonts w:ascii="Arial" w:cs="Arial" w:eastAsia="Arial" w:hAnsi="Arial"/>
          <w:b/>
          <w:bCs/>
          <w:i w:val="false"/>
          <w:iCs w:val="false"/>
          <w:color w:val="1F3864"/>
          <w:sz w:val="18"/>
          <w:szCs w:val="18"/>
        </w:rPr>
        <w:t xml:space="preserve">SS-22-01:</w:t>
      </w:r>
    </w:p>
    <w:p>
      <w:pPr>
        <w:spacing w:before="0" w:after="60"/>
        <w:jc w:val="left"/>
      </w:pPr>
      <w:r>
        <w:rPr>
          <w:rFonts w:ascii="Arial" w:cs="Arial" w:eastAsia="Arial" w:hAnsi="Arial"/>
          <w:b w:val="false"/>
          <w:bCs w:val="false"/>
          <w:i/>
          <w:iCs/>
          <w:color w:val="595959"/>
          <w:sz w:val="18"/>
          <w:szCs w:val="18"/>
        </w:rPr>
        <w:t xml:space="preserve">Flyvbjerg Holm Buhl 2002 "underestimation costs megaprojects" deliberate deception</w:t>
      </w:r>
    </w:p>
    <w:p>
      <w:pPr>
        <w:spacing w:before="60" w:after="0"/>
        <w:jc w:val="left"/>
      </w:pPr>
      <w:r>
        <w:rPr>
          <w:rFonts w:ascii="Arial" w:cs="Arial" w:eastAsia="Arial" w:hAnsi="Arial"/>
          <w:b/>
          <w:bCs/>
          <w:i w:val="false"/>
          <w:iCs w:val="false"/>
          <w:color w:val="1F3864"/>
          <w:sz w:val="18"/>
          <w:szCs w:val="18"/>
        </w:rPr>
        <w:t xml:space="preserve">SS-22-02:</w:t>
      </w:r>
    </w:p>
    <w:p>
      <w:pPr>
        <w:spacing w:before="0" w:after="60"/>
        <w:jc w:val="left"/>
      </w:pPr>
      <w:r>
        <w:rPr>
          <w:rFonts w:ascii="Arial" w:cs="Arial" w:eastAsia="Arial" w:hAnsi="Arial"/>
          <w:b w:val="false"/>
          <w:bCs w:val="false"/>
          <w:i/>
          <w:iCs/>
          <w:color w:val="595959"/>
          <w:sz w:val="18"/>
          <w:szCs w:val="18"/>
        </w:rPr>
        <w:t xml:space="preserve">Flyvbjerg 2014 "what you should know about megaprojects" cost overrun systematic</w:t>
      </w:r>
    </w:p>
    <w:p>
      <w:pPr>
        <w:spacing w:before="60" w:after="0"/>
        <w:jc w:val="left"/>
      </w:pPr>
      <w:r>
        <w:rPr>
          <w:rFonts w:ascii="Arial" w:cs="Arial" w:eastAsia="Arial" w:hAnsi="Arial"/>
          <w:b/>
          <w:bCs/>
          <w:i w:val="false"/>
          <w:iCs w:val="false"/>
          <w:color w:val="1F3864"/>
          <w:sz w:val="18"/>
          <w:szCs w:val="18"/>
        </w:rPr>
        <w:t xml:space="preserve">SS-22-03:</w:t>
      </w:r>
    </w:p>
    <w:p>
      <w:pPr>
        <w:spacing w:before="0" w:after="60"/>
        <w:jc w:val="left"/>
      </w:pPr>
      <w:r>
        <w:rPr>
          <w:rFonts w:ascii="Arial" w:cs="Arial" w:eastAsia="Arial" w:hAnsi="Arial"/>
          <w:b w:val="false"/>
          <w:bCs w:val="false"/>
          <w:i/>
          <w:iCs/>
          <w:color w:val="595959"/>
          <w:sz w:val="18"/>
          <w:szCs w:val="18"/>
        </w:rPr>
        <w:t xml:space="preserve">Cantarelli Flyvbjerg Molin van Wee 2010 "cost overruns in large-scale transportation infrastructure" Netherlands</w:t>
      </w:r>
    </w:p>
    <w:p>
      <w:pPr>
        <w:spacing w:before="60" w:after="0"/>
        <w:jc w:val="left"/>
      </w:pPr>
      <w:r>
        <w:rPr>
          <w:rFonts w:ascii="Arial" w:cs="Arial" w:eastAsia="Arial" w:hAnsi="Arial"/>
          <w:b/>
          <w:bCs/>
          <w:i w:val="false"/>
          <w:iCs w:val="false"/>
          <w:color w:val="1F3864"/>
          <w:sz w:val="18"/>
          <w:szCs w:val="18"/>
        </w:rPr>
        <w:t xml:space="preserve">SS-22-04:</w:t>
      </w:r>
    </w:p>
    <w:p>
      <w:pPr>
        <w:spacing w:before="0" w:after="60"/>
        <w:jc w:val="left"/>
      </w:pPr>
      <w:r>
        <w:rPr>
          <w:rFonts w:ascii="Arial" w:cs="Arial" w:eastAsia="Arial" w:hAnsi="Arial"/>
          <w:b w:val="false"/>
          <w:bCs w:val="false"/>
          <w:i/>
          <w:iCs/>
          <w:color w:val="595959"/>
          <w:sz w:val="18"/>
          <w:szCs w:val="18"/>
        </w:rPr>
        <w:t xml:space="preserve">"cost overrun" infrastructure "ex ante" "prediction" regression project characteristics</w:t>
      </w:r>
    </w:p>
    <w:p>
      <w:pPr>
        <w:spacing w:before="60" w:after="0"/>
        <w:jc w:val="left"/>
      </w:pPr>
      <w:r>
        <w:rPr>
          <w:rFonts w:ascii="Arial" w:cs="Arial" w:eastAsia="Arial" w:hAnsi="Arial"/>
          <w:b/>
          <w:bCs/>
          <w:i w:val="false"/>
          <w:iCs w:val="false"/>
          <w:color w:val="1F3864"/>
          <w:sz w:val="18"/>
          <w:szCs w:val="18"/>
        </w:rPr>
        <w:t xml:space="preserve">SS-22-05:</w:t>
      </w:r>
    </w:p>
    <w:p>
      <w:pPr>
        <w:spacing w:before="0" w:after="60"/>
        <w:jc w:val="left"/>
      </w:pPr>
      <w:r>
        <w:rPr>
          <w:rFonts w:ascii="Arial" w:cs="Arial" w:eastAsia="Arial" w:hAnsi="Arial"/>
          <w:b w:val="false"/>
          <w:bCs w:val="false"/>
          <w:i/>
          <w:iCs/>
          <w:color w:val="595959"/>
          <w:sz w:val="18"/>
          <w:szCs w:val="18"/>
        </w:rPr>
        <w:t xml:space="preserve">Odeck 2004 "cost overruns in road construction" Norway regression project characteristics</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CHAT RESET PROMPT (paste when session drifts)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I am coding papers for the Infrastructure Cost Overrun stream of my LSR PhD literature review.</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No papers coded yet in this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Target: Flyvbjerg 2002, 2014, 2022; Cantarelli et al.; Odeck; Andric et al.; Love et al.</w:t>
            </w:r>
          </w:p>
          <w:p>
            <w:pPr>
              <w:spacing w:before="40" w:after="40"/>
            </w:pPr>
            <w:r>
              <w:rPr>
                <w:rFonts w:ascii="Courier New" w:cs="Courier New" w:eastAsia="Courier New" w:hAnsi="Courier New"/>
                <w:color w:val="003366"/>
                <w:sz w:val="16"/>
                <w:szCs w:val="16"/>
              </w:rPr>
              <w:t xml:space="preserve">Also: Wang &amp; Levinson 2023 (already in project files — use as anchor paper).</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Stream gap: No model predicts overrun magnitude from observable entry characteristics at submission.</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Upload PDFs. Tab A all papers. Tab B for Deep_Read=Yes. Stream summary last.</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WHAT TO COPY TO SYNTHESIS PROJECT</w:t>
      </w:r>
    </w:p>
    <w:p>
      <w:pPr>
        <w:spacing w:before="80" w:after="80"/>
        <w:jc w:val="left"/>
      </w:pPr>
      <w:r>
        <w:rPr>
          <w:rFonts w:ascii="Arial" w:cs="Arial" w:eastAsia="Arial" w:hAnsi="Arial"/>
          <w:b w:val="false"/>
          <w:bCs w:val="false"/>
          <w:i/>
          <w:iCs/>
          <w:color w:val="595959"/>
          <w:sz w:val="18"/>
          <w:szCs w:val="18"/>
        </w:rPr>
        <w:t xml:space="preserve">"Produce the complete Infrastructure Cost Overrun stream output for the Synthesis Project: all Tab A records, all Tab B records, the stream gap sentence, and 3 forward citations to chase."</w:t>
      </w:r>
    </w:p>
    <w:p>
      <w:pPr>
        <w:spacing w:before="60" w:after="60"/>
      </w:pPr>
      <w:r>
        <w:rPr>
          <w:sz w:val="14"/>
          <w:szCs w:val="14"/>
        </w:rPr>
        <w:t xml:space="preserve"> </w:t>
      </w:r>
    </w:p>
    <w:p>
      <w:pPr>
        <w:spacing w:before="60" w:after="60"/>
      </w:pPr>
      <w:r>
        <w:rPr>
          <w:sz w:val="14"/>
          <w:szCs w:val="14"/>
        </w:rPr>
        <w:t xml:space="preserve">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center"/>
            </w:pPr>
            <w:r>
              <w:rPr>
                <w:rFonts w:ascii="Arial" w:cs="Arial" w:eastAsia="Arial" w:hAnsi="Arial"/>
                <w:b/>
                <w:bCs/>
                <w:i w:val="false"/>
                <w:iCs w:val="false"/>
                <w:color w:val="FFFFFF"/>
                <w:sz w:val="28"/>
                <w:szCs w:val="28"/>
              </w:rPr>
              <w:t xml:space="preserve">STREAM
23</w:t>
            </w:r>
          </w:p>
        </w:tc>
        <w:tc>
          <w:tcPr>
            <w:tcW w:type="dxa" w:w="8460"/>
            <w:tcBorders>
              <w:top w:val="single" w:color="1F3864" w:sz="1"/>
              <w:left w:val="single" w:color="1F3864" w:sz="1"/>
              <w:bottom w:val="single" w:color="1F3864" w:sz="1"/>
              <w:right w:val="single" w:color="1F3864" w:sz="1"/>
            </w:tcBorders>
            <w:shd w:fill="D9EAD3" w:val="clear"/>
            <w:tcMar>
              <w:top w:type="dxa" w:w="100"/>
              <w:left w:type="dxa" w:w="180"/>
              <w:bottom w:type="dxa" w:w="100"/>
              <w:right w:type="dxa" w:w="180"/>
            </w:tcMar>
          </w:tcPr>
          <w:p>
            <w:pPr>
              <w:spacing w:before="40" w:after="20"/>
              <w:jc w:val="left"/>
            </w:pPr>
            <w:r>
              <w:rPr>
                <w:rFonts w:ascii="Arial" w:cs="Arial" w:eastAsia="Arial" w:hAnsi="Arial"/>
                <w:b/>
                <w:bCs/>
                <w:i w:val="false"/>
                <w:iCs w:val="false"/>
                <w:color w:val="1F3864"/>
                <w:sz w:val="32"/>
                <w:szCs w:val="32"/>
              </w:rPr>
              <w:t xml:space="preserve">REFERENCE CLASS FORECASTING &amp; OPTIMISM BIAS</w:t>
            </w:r>
          </w:p>
          <w:p>
            <w:pPr>
              <w:spacing w:before="0" w:after="40"/>
              <w:jc w:val="left"/>
            </w:pPr>
            <w:r>
              <w:rPr>
                <w:rFonts w:ascii="Arial" w:cs="Arial" w:eastAsia="Arial" w:hAnsi="Arial"/>
                <w:b w:val="false"/>
                <w:bCs w:val="false"/>
                <w:i/>
                <w:iCs/>
                <w:color w:val="595959"/>
                <w:sz w:val="20"/>
                <w:szCs w:val="20"/>
              </w:rPr>
              <w:t xml:space="preserve">OCDI CORE | Extension of Stream 15 (Specification Robustness)</w:t>
            </w:r>
          </w:p>
        </w:tc>
      </w:tr>
    </w:tbl>
    <w:p>
      <w:pPr>
        <w:spacing w:before="60" w:after="60"/>
      </w:pPr>
      <w:r>
        <w:rPr>
          <w:sz w:val="14"/>
          <w:szCs w:val="14"/>
        </w:rPr>
        <w:t xml:space="preserve"> </w:t>
      </w:r>
    </w:p>
    <w:p>
      <w:pPr>
        <w:spacing w:before="180" w:after="60"/>
      </w:pPr>
      <w:r>
        <w:rPr>
          <w:rFonts w:ascii="Arial" w:cs="Arial" w:eastAsia="Arial" w:hAnsi="Arial"/>
          <w:b/>
          <w:bCs/>
          <w:color w:val="990000"/>
          <w:sz w:val="24"/>
          <w:szCs w:val="24"/>
        </w:rPr>
        <w:t xml:space="preserve">TARGET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43C0C" w:sz="1"/>
              <w:left w:val="single" w:color="843C0C" w:sz="1"/>
              <w:bottom w:val="single" w:color="843C0C" w:sz="1"/>
              <w:right w:val="single" w:color="843C0C" w:sz="1"/>
            </w:tcBorders>
            <w:shd w:fill="FCE4D6" w:val="clear"/>
            <w:tcMar>
              <w:top w:type="dxa" w:w="120"/>
              <w:left w:type="dxa" w:w="180"/>
              <w:bottom w:type="dxa" w:w="120"/>
              <w:right w:type="dxa" w:w="180"/>
            </w:tcMar>
          </w:tcPr>
          <w:p>
            <w:pPr>
              <w:spacing w:before="50" w:after="50"/>
            </w:pPr>
            <w:r>
              <w:rPr>
                <w:rFonts w:ascii="Arial" w:cs="Arial" w:eastAsia="Arial" w:hAnsi="Arial"/>
                <w:color w:val="843C0C"/>
                <w:sz w:val="18"/>
                <w:szCs w:val="18"/>
              </w:rPr>
              <w:t xml:space="preserve">Reference class forecasting (using the outside view — what similar projects actually cost — rather than the inside view of the specific project's promoter estimate) is theorised as the solution to systematic optimism bias. It has been adopted in the UK Green Book and Danish transport appraisal. But it has never been operationalised as a mandatory pre-approval scoring index with empirical validation of the overrun reduction it achieves. The OCDI Component 4 fills this gap.</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PROJECT NAME TO CREATE</w:t>
      </w:r>
    </w:p>
    <w:p>
      <w:pPr>
        <w:spacing w:before="80" w:after="80"/>
        <w:jc w:val="left"/>
      </w:pPr>
      <w:r>
        <w:rPr>
          <w:rFonts w:ascii="Arial" w:cs="Arial" w:eastAsia="Arial" w:hAnsi="Arial"/>
          <w:b/>
          <w:bCs/>
          <w:i w:val="false"/>
          <w:iCs w:val="false"/>
          <w:color w:val="2E75B6"/>
          <w:sz w:val="20"/>
          <w:szCs w:val="20"/>
        </w:rPr>
        <w:t xml:space="preserve">LSR — Stream 23: Reference Class Forecasting &amp; Optimism Bias</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SEARCH STRINGS (run in Google Scholar + Semantic Scholar)</w:t>
      </w:r>
    </w:p>
    <w:p>
      <w:pPr>
        <w:spacing w:before="60" w:after="0"/>
        <w:jc w:val="left"/>
      </w:pPr>
      <w:r>
        <w:rPr>
          <w:rFonts w:ascii="Arial" w:cs="Arial" w:eastAsia="Arial" w:hAnsi="Arial"/>
          <w:b/>
          <w:bCs/>
          <w:i w:val="false"/>
          <w:iCs w:val="false"/>
          <w:color w:val="1F3864"/>
          <w:sz w:val="18"/>
          <w:szCs w:val="18"/>
        </w:rPr>
        <w:t xml:space="preserve">SS-23-01:</w:t>
      </w:r>
    </w:p>
    <w:p>
      <w:pPr>
        <w:spacing w:before="0" w:after="60"/>
        <w:jc w:val="left"/>
      </w:pPr>
      <w:r>
        <w:rPr>
          <w:rFonts w:ascii="Arial" w:cs="Arial" w:eastAsia="Arial" w:hAnsi="Arial"/>
          <w:b w:val="false"/>
          <w:bCs w:val="false"/>
          <w:i/>
          <w:iCs/>
          <w:color w:val="595959"/>
          <w:sz w:val="18"/>
          <w:szCs w:val="18"/>
        </w:rPr>
        <w:t xml:space="preserve">Flyvbjerg 2008 "curbing optimism bias" reference class forecasting infrastructure</w:t>
      </w:r>
    </w:p>
    <w:p>
      <w:pPr>
        <w:spacing w:before="60" w:after="0"/>
        <w:jc w:val="left"/>
      </w:pPr>
      <w:r>
        <w:rPr>
          <w:rFonts w:ascii="Arial" w:cs="Arial" w:eastAsia="Arial" w:hAnsi="Arial"/>
          <w:b/>
          <w:bCs/>
          <w:i w:val="false"/>
          <w:iCs w:val="false"/>
          <w:color w:val="1F3864"/>
          <w:sz w:val="18"/>
          <w:szCs w:val="18"/>
        </w:rPr>
        <w:t xml:space="preserve">SS-23-02:</w:t>
      </w:r>
    </w:p>
    <w:p>
      <w:pPr>
        <w:spacing w:before="0" w:after="60"/>
        <w:jc w:val="left"/>
      </w:pPr>
      <w:r>
        <w:rPr>
          <w:rFonts w:ascii="Arial" w:cs="Arial" w:eastAsia="Arial" w:hAnsi="Arial"/>
          <w:b w:val="false"/>
          <w:bCs w:val="false"/>
          <w:i/>
          <w:iCs/>
          <w:color w:val="595959"/>
          <w:sz w:val="18"/>
          <w:szCs w:val="18"/>
        </w:rPr>
        <w:t xml:space="preserve">Kahneman Lovallo 1993 "timid choices and bold forecasts" planning fallacy outside view</w:t>
      </w:r>
    </w:p>
    <w:p>
      <w:pPr>
        <w:spacing w:before="60" w:after="0"/>
        <w:jc w:val="left"/>
      </w:pPr>
      <w:r>
        <w:rPr>
          <w:rFonts w:ascii="Arial" w:cs="Arial" w:eastAsia="Arial" w:hAnsi="Arial"/>
          <w:b/>
          <w:bCs/>
          <w:i w:val="false"/>
          <w:iCs w:val="false"/>
          <w:color w:val="1F3864"/>
          <w:sz w:val="18"/>
          <w:szCs w:val="18"/>
        </w:rPr>
        <w:t xml:space="preserve">SS-23-03:</w:t>
      </w:r>
    </w:p>
    <w:p>
      <w:pPr>
        <w:spacing w:before="0" w:after="60"/>
        <w:jc w:val="left"/>
      </w:pPr>
      <w:r>
        <w:rPr>
          <w:rFonts w:ascii="Arial" w:cs="Arial" w:eastAsia="Arial" w:hAnsi="Arial"/>
          <w:b w:val="false"/>
          <w:bCs w:val="false"/>
          <w:i/>
          <w:iCs/>
          <w:color w:val="595959"/>
          <w:sz w:val="18"/>
          <w:szCs w:val="18"/>
        </w:rPr>
        <w:t xml:space="preserve">Lovallo Kahneman 2003 "delusions of success" optimism bias project appraisal</w:t>
      </w:r>
    </w:p>
    <w:p>
      <w:pPr>
        <w:spacing w:before="60" w:after="0"/>
        <w:jc w:val="left"/>
      </w:pPr>
      <w:r>
        <w:rPr>
          <w:rFonts w:ascii="Arial" w:cs="Arial" w:eastAsia="Arial" w:hAnsi="Arial"/>
          <w:b/>
          <w:bCs/>
          <w:i w:val="false"/>
          <w:iCs w:val="false"/>
          <w:color w:val="1F3864"/>
          <w:sz w:val="18"/>
          <w:szCs w:val="18"/>
        </w:rPr>
        <w:t xml:space="preserve">SS-23-04:</w:t>
      </w:r>
    </w:p>
    <w:p>
      <w:pPr>
        <w:spacing w:before="0" w:after="60"/>
        <w:jc w:val="left"/>
      </w:pPr>
      <w:r>
        <w:rPr>
          <w:rFonts w:ascii="Arial" w:cs="Arial" w:eastAsia="Arial" w:hAnsi="Arial"/>
          <w:b w:val="false"/>
          <w:bCs w:val="false"/>
          <w:i/>
          <w:iCs/>
          <w:color w:val="595959"/>
          <w:sz w:val="18"/>
          <w:szCs w:val="18"/>
        </w:rPr>
        <w:t xml:space="preserve">"reference class forecasting" infrastructure "cost overrun" validation empirical</w:t>
      </w:r>
    </w:p>
    <w:p>
      <w:pPr>
        <w:spacing w:before="60" w:after="0"/>
        <w:jc w:val="left"/>
      </w:pPr>
      <w:r>
        <w:rPr>
          <w:rFonts w:ascii="Arial" w:cs="Arial" w:eastAsia="Arial" w:hAnsi="Arial"/>
          <w:b/>
          <w:bCs/>
          <w:i w:val="false"/>
          <w:iCs w:val="false"/>
          <w:color w:val="1F3864"/>
          <w:sz w:val="18"/>
          <w:szCs w:val="18"/>
        </w:rPr>
        <w:t xml:space="preserve">SS-23-05:</w:t>
      </w:r>
    </w:p>
    <w:p>
      <w:pPr>
        <w:spacing w:before="0" w:after="60"/>
        <w:jc w:val="left"/>
      </w:pPr>
      <w:r>
        <w:rPr>
          <w:rFonts w:ascii="Arial" w:cs="Arial" w:eastAsia="Arial" w:hAnsi="Arial"/>
          <w:b w:val="false"/>
          <w:bCs w:val="false"/>
          <w:i/>
          <w:iCs/>
          <w:color w:val="595959"/>
          <w:sz w:val="18"/>
          <w:szCs w:val="18"/>
        </w:rPr>
        <w:t xml:space="preserve">UK Green Book 2022 "optimism bias" infrastructure appraisal uplift methodology</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CHAT RESET PROMPT (paste when session drifts)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I am coding papers for the Reference Class Forecasting stream of my LSR PhD literature review.</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No papers coded yet in this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Target: Flyvbjerg 2008 RCF paper; Kahneman-Lovallo 1993; Lovallo-Kahneman 2003;</w:t>
            </w:r>
          </w:p>
          <w:p>
            <w:pPr>
              <w:spacing w:before="40" w:after="40"/>
            </w:pPr>
            <w:r>
              <w:rPr>
                <w:rFonts w:ascii="Courier New" w:cs="Courier New" w:eastAsia="Courier New" w:hAnsi="Courier New"/>
                <w:color w:val="003366"/>
                <w:sz w:val="16"/>
                <w:szCs w:val="16"/>
              </w:rPr>
              <w:t xml:space="preserve">UK Green Book uplift methodology; Danish transport appraisal reference class evidence.</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Stream gap: RCF never operationalised as a mandatory pre-approval scoring index with</w:t>
            </w:r>
          </w:p>
          <w:p>
            <w:pPr>
              <w:spacing w:before="40" w:after="40"/>
            </w:pPr>
            <w:r>
              <w:rPr>
                <w:rFonts w:ascii="Courier New" w:cs="Courier New" w:eastAsia="Courier New" w:hAnsi="Courier New"/>
                <w:color w:val="003366"/>
                <w:sz w:val="16"/>
                <w:szCs w:val="16"/>
              </w:rPr>
              <w:t xml:space="preserve">empirical validation of overrun reduction achieved.</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Upload PDFs. Tab A all papers. Tab B for Deep_Read=Yes. Stream summary last.</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WHAT TO COPY TO SYNTHESIS PROJECT</w:t>
      </w:r>
    </w:p>
    <w:p>
      <w:pPr>
        <w:spacing w:before="80" w:after="80"/>
        <w:jc w:val="left"/>
      </w:pPr>
      <w:r>
        <w:rPr>
          <w:rFonts w:ascii="Arial" w:cs="Arial" w:eastAsia="Arial" w:hAnsi="Arial"/>
          <w:b w:val="false"/>
          <w:bCs w:val="false"/>
          <w:i/>
          <w:iCs/>
          <w:color w:val="595959"/>
          <w:sz w:val="18"/>
          <w:szCs w:val="18"/>
        </w:rPr>
        <w:t xml:space="preserve">"Produce the complete Reference Class Forecasting stream output for the Synthesis Project: all Tab A records, all Tab B records, the stream gap sentence, and 3 forward citations to chase."</w:t>
      </w:r>
    </w:p>
    <w:p>
      <w:pPr>
        <w:spacing w:before="60" w:after="60"/>
      </w:pPr>
      <w:r>
        <w:rPr>
          <w:sz w:val="14"/>
          <w:szCs w:val="14"/>
        </w:rPr>
        <w:t xml:space="preserve"> </w:t>
      </w:r>
    </w:p>
    <w:p>
      <w:pPr>
        <w:spacing w:before="60" w:after="60"/>
      </w:pPr>
      <w:r>
        <w:rPr>
          <w:sz w:val="14"/>
          <w:szCs w:val="14"/>
        </w:rPr>
        <w:t xml:space="preserve">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center"/>
            </w:pPr>
            <w:r>
              <w:rPr>
                <w:rFonts w:ascii="Arial" w:cs="Arial" w:eastAsia="Arial" w:hAnsi="Arial"/>
                <w:b/>
                <w:bCs/>
                <w:i w:val="false"/>
                <w:iCs w:val="false"/>
                <w:color w:val="FFFFFF"/>
                <w:sz w:val="28"/>
                <w:szCs w:val="28"/>
              </w:rPr>
              <w:t xml:space="preserve">STREAM
24</w:t>
            </w:r>
          </w:p>
        </w:tc>
        <w:tc>
          <w:tcPr>
            <w:tcW w:type="dxa" w:w="8460"/>
            <w:tcBorders>
              <w:top w:val="single" w:color="1F3864" w:sz="1"/>
              <w:left w:val="single" w:color="1F3864" w:sz="1"/>
              <w:bottom w:val="single" w:color="1F3864" w:sz="1"/>
              <w:right w:val="single" w:color="1F3864" w:sz="1"/>
            </w:tcBorders>
            <w:shd w:fill="FFF2CC" w:val="clear"/>
            <w:tcMar>
              <w:top w:type="dxa" w:w="100"/>
              <w:left w:type="dxa" w:w="180"/>
              <w:bottom w:type="dxa" w:w="100"/>
              <w:right w:type="dxa" w:w="180"/>
            </w:tcMar>
          </w:tcPr>
          <w:p>
            <w:pPr>
              <w:spacing w:before="40" w:after="20"/>
              <w:jc w:val="left"/>
            </w:pPr>
            <w:r>
              <w:rPr>
                <w:rFonts w:ascii="Arial" w:cs="Arial" w:eastAsia="Arial" w:hAnsi="Arial"/>
                <w:b/>
                <w:bCs/>
                <w:i w:val="false"/>
                <w:iCs w:val="false"/>
                <w:color w:val="1F3864"/>
                <w:sz w:val="32"/>
                <w:szCs w:val="32"/>
              </w:rPr>
              <w:t xml:space="preserve">PROCUREMENT ARCHITECTURE &amp; CONTRACTOR BEHAVIOUR</w:t>
            </w:r>
          </w:p>
          <w:p>
            <w:pPr>
              <w:spacing w:before="0" w:after="40"/>
              <w:jc w:val="left"/>
            </w:pPr>
            <w:r>
              <w:rPr>
                <w:rFonts w:ascii="Arial" w:cs="Arial" w:eastAsia="Arial" w:hAnsi="Arial"/>
                <w:b w:val="false"/>
                <w:bCs w:val="false"/>
                <w:i/>
                <w:iCs/>
                <w:color w:val="595959"/>
                <w:sz w:val="20"/>
                <w:szCs w:val="20"/>
              </w:rPr>
              <w:t xml:space="preserve">OCDI METHODS | Extension of Stream 04 (Principal-Agent)</w:t>
            </w:r>
          </w:p>
        </w:tc>
      </w:tr>
    </w:tbl>
    <w:p>
      <w:pPr>
        <w:spacing w:before="60" w:after="60"/>
      </w:pPr>
      <w:r>
        <w:rPr>
          <w:sz w:val="14"/>
          <w:szCs w:val="14"/>
        </w:rPr>
        <w:t xml:space="preserve"> </w:t>
      </w:r>
    </w:p>
    <w:p>
      <w:pPr>
        <w:spacing w:before="180" w:after="60"/>
      </w:pPr>
      <w:r>
        <w:rPr>
          <w:rFonts w:ascii="Arial" w:cs="Arial" w:eastAsia="Arial" w:hAnsi="Arial"/>
          <w:b/>
          <w:bCs/>
          <w:color w:val="990000"/>
          <w:sz w:val="24"/>
          <w:szCs w:val="24"/>
        </w:rPr>
        <w:t xml:space="preserve">TARGET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43C0C" w:sz="1"/>
              <w:left w:val="single" w:color="843C0C" w:sz="1"/>
              <w:bottom w:val="single" w:color="843C0C" w:sz="1"/>
              <w:right w:val="single" w:color="843C0C" w:sz="1"/>
            </w:tcBorders>
            <w:shd w:fill="FCE4D6" w:val="clear"/>
            <w:tcMar>
              <w:top w:type="dxa" w:w="120"/>
              <w:left w:type="dxa" w:w="180"/>
              <w:bottom w:type="dxa" w:w="120"/>
              <w:right w:type="dxa" w:w="180"/>
            </w:tcMar>
          </w:tcPr>
          <w:p>
            <w:pPr>
              <w:spacing w:before="50" w:after="50"/>
            </w:pPr>
            <w:r>
              <w:rPr>
                <w:rFonts w:ascii="Arial" w:cs="Arial" w:eastAsia="Arial" w:hAnsi="Arial"/>
                <w:color w:val="843C0C"/>
                <w:sz w:val="18"/>
                <w:szCs w:val="18"/>
              </w:rPr>
              <w:t xml:space="preserve">The procurement economics literature documents that contractors systematically underbid to win contracts and recover margin through uncompetitive change orders — a strategy structurally identical to the extractive financing architecture documented in the ODQI. However, no study has constructed a contractor-level intent index from public procurement records that predicts overrun magnitude at submission stage. The Contractor Intent Score (OCDI Component 1) fills this gap.</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PROJECT NAME TO CREATE</w:t>
      </w:r>
    </w:p>
    <w:p>
      <w:pPr>
        <w:spacing w:before="80" w:after="80"/>
        <w:jc w:val="left"/>
      </w:pPr>
      <w:r>
        <w:rPr>
          <w:rFonts w:ascii="Arial" w:cs="Arial" w:eastAsia="Arial" w:hAnsi="Arial"/>
          <w:b/>
          <w:bCs/>
          <w:i w:val="false"/>
          <w:iCs w:val="false"/>
          <w:color w:val="2E75B6"/>
          <w:sz w:val="20"/>
          <w:szCs w:val="20"/>
        </w:rPr>
        <w:t xml:space="preserve">LSR — Stream 24: Procurement Architecture &amp; Contractor Behaviour</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SEARCH STRINGS (run in Google Scholar + Semantic Scholar)</w:t>
      </w:r>
    </w:p>
    <w:p>
      <w:pPr>
        <w:spacing w:before="60" w:after="0"/>
        <w:jc w:val="left"/>
      </w:pPr>
      <w:r>
        <w:rPr>
          <w:rFonts w:ascii="Arial" w:cs="Arial" w:eastAsia="Arial" w:hAnsi="Arial"/>
          <w:b/>
          <w:bCs/>
          <w:i w:val="false"/>
          <w:iCs w:val="false"/>
          <w:color w:val="1F3864"/>
          <w:sz w:val="18"/>
          <w:szCs w:val="18"/>
        </w:rPr>
        <w:t xml:space="preserve">SS-24-01:</w:t>
      </w:r>
    </w:p>
    <w:p>
      <w:pPr>
        <w:spacing w:before="0" w:after="60"/>
        <w:jc w:val="left"/>
      </w:pPr>
      <w:r>
        <w:rPr>
          <w:rFonts w:ascii="Arial" w:cs="Arial" w:eastAsia="Arial" w:hAnsi="Arial"/>
          <w:b w:val="false"/>
          <w:bCs w:val="false"/>
          <w:i/>
          <w:iCs/>
          <w:color w:val="595959"/>
          <w:sz w:val="18"/>
          <w:szCs w:val="18"/>
        </w:rPr>
        <w:t xml:space="preserve">Bajari McMillan Tadelis 2009 "auction versus negotiation" contractor selection change orders</w:t>
      </w:r>
    </w:p>
    <w:p>
      <w:pPr>
        <w:spacing w:before="60" w:after="0"/>
        <w:jc w:val="left"/>
      </w:pPr>
      <w:r>
        <w:rPr>
          <w:rFonts w:ascii="Arial" w:cs="Arial" w:eastAsia="Arial" w:hAnsi="Arial"/>
          <w:b/>
          <w:bCs/>
          <w:i w:val="false"/>
          <w:iCs w:val="false"/>
          <w:color w:val="1F3864"/>
          <w:sz w:val="18"/>
          <w:szCs w:val="18"/>
        </w:rPr>
        <w:t xml:space="preserve">SS-24-02:</w:t>
      </w:r>
    </w:p>
    <w:p>
      <w:pPr>
        <w:spacing w:before="0" w:after="60"/>
        <w:jc w:val="left"/>
      </w:pPr>
      <w:r>
        <w:rPr>
          <w:rFonts w:ascii="Arial" w:cs="Arial" w:eastAsia="Arial" w:hAnsi="Arial"/>
          <w:b w:val="false"/>
          <w:bCs w:val="false"/>
          <w:i/>
          <w:iCs/>
          <w:color w:val="595959"/>
          <w:sz w:val="18"/>
          <w:szCs w:val="18"/>
        </w:rPr>
        <w:t xml:space="preserve">Decarolis 2014 "awarding price, contract performance, and bids" construction procurement</w:t>
      </w:r>
    </w:p>
    <w:p>
      <w:pPr>
        <w:spacing w:before="60" w:after="0"/>
        <w:jc w:val="left"/>
      </w:pPr>
      <w:r>
        <w:rPr>
          <w:rFonts w:ascii="Arial" w:cs="Arial" w:eastAsia="Arial" w:hAnsi="Arial"/>
          <w:b/>
          <w:bCs/>
          <w:i w:val="false"/>
          <w:iCs w:val="false"/>
          <w:color w:val="1F3864"/>
          <w:sz w:val="18"/>
          <w:szCs w:val="18"/>
        </w:rPr>
        <w:t xml:space="preserve">SS-24-03:</w:t>
      </w:r>
    </w:p>
    <w:p>
      <w:pPr>
        <w:spacing w:before="0" w:after="60"/>
        <w:jc w:val="left"/>
      </w:pPr>
      <w:r>
        <w:rPr>
          <w:rFonts w:ascii="Arial" w:cs="Arial" w:eastAsia="Arial" w:hAnsi="Arial"/>
          <w:b w:val="false"/>
          <w:bCs w:val="false"/>
          <w:i/>
          <w:iCs/>
          <w:color w:val="595959"/>
          <w:sz w:val="18"/>
          <w:szCs w:val="18"/>
        </w:rPr>
        <w:t xml:space="preserve">"bid rigging" OR "unbalanced bidding" infrastructure procurement cost overrun</w:t>
      </w:r>
    </w:p>
    <w:p>
      <w:pPr>
        <w:spacing w:before="60" w:after="0"/>
        <w:jc w:val="left"/>
      </w:pPr>
      <w:r>
        <w:rPr>
          <w:rFonts w:ascii="Arial" w:cs="Arial" w:eastAsia="Arial" w:hAnsi="Arial"/>
          <w:b/>
          <w:bCs/>
          <w:i w:val="false"/>
          <w:iCs w:val="false"/>
          <w:color w:val="1F3864"/>
          <w:sz w:val="18"/>
          <w:szCs w:val="18"/>
        </w:rPr>
        <w:t xml:space="preserve">SS-24-04:</w:t>
      </w:r>
    </w:p>
    <w:p>
      <w:pPr>
        <w:spacing w:before="0" w:after="60"/>
        <w:jc w:val="left"/>
      </w:pPr>
      <w:r>
        <w:rPr>
          <w:rFonts w:ascii="Arial" w:cs="Arial" w:eastAsia="Arial" w:hAnsi="Arial"/>
          <w:b w:val="false"/>
          <w:bCs w:val="false"/>
          <w:i/>
          <w:iCs/>
          <w:color w:val="595959"/>
          <w:sz w:val="18"/>
          <w:szCs w:val="18"/>
        </w:rPr>
        <w:t xml:space="preserve">Guccio Pignataro Rizzo 2012 "public works" procurement "cost overrun" contractor</w:t>
      </w:r>
    </w:p>
    <w:p>
      <w:pPr>
        <w:spacing w:before="60" w:after="0"/>
        <w:jc w:val="left"/>
      </w:pPr>
      <w:r>
        <w:rPr>
          <w:rFonts w:ascii="Arial" w:cs="Arial" w:eastAsia="Arial" w:hAnsi="Arial"/>
          <w:b/>
          <w:bCs/>
          <w:i w:val="false"/>
          <w:iCs w:val="false"/>
          <w:color w:val="1F3864"/>
          <w:sz w:val="18"/>
          <w:szCs w:val="18"/>
        </w:rPr>
        <w:t xml:space="preserve">SS-24-05:</w:t>
      </w:r>
    </w:p>
    <w:p>
      <w:pPr>
        <w:spacing w:before="0" w:after="60"/>
        <w:jc w:val="left"/>
      </w:pPr>
      <w:r>
        <w:rPr>
          <w:rFonts w:ascii="Arial" w:cs="Arial" w:eastAsia="Arial" w:hAnsi="Arial"/>
          <w:b w:val="false"/>
          <w:bCs w:val="false"/>
          <w:i/>
          <w:iCs/>
          <w:color w:val="595959"/>
          <w:sz w:val="18"/>
          <w:szCs w:val="18"/>
        </w:rPr>
        <w:t xml:space="preserve">"change orders" construction contracts "moral hazard" incomplete contracts theory</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CHAT RESET PROMPT (paste when session drifts)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I am coding papers for the Procurement Architecture stream of my LSR PhD literature review.</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No papers coded yet in this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Target: Bajari et al. 2009; Decarolis 2014; Guccio et al. 2012; incomplete contracts literature</w:t>
            </w:r>
          </w:p>
          <w:p>
            <w:pPr>
              <w:spacing w:before="40" w:after="40"/>
            </w:pPr>
            <w:r>
              <w:rPr>
                <w:rFonts w:ascii="Courier New" w:cs="Courier New" w:eastAsia="Courier New" w:hAnsi="Courier New"/>
                <w:color w:val="003366"/>
                <w:sz w:val="16"/>
                <w:szCs w:val="16"/>
              </w:rPr>
              <w:t xml:space="preserve">(Grossman-Hart 1986 applied to construction); Hart 2003 on incomplete contracts and PPPs.</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Stream gap: No contractor-level intent index built from procurement records predictive</w:t>
            </w:r>
          </w:p>
          <w:p>
            <w:pPr>
              <w:spacing w:before="40" w:after="40"/>
            </w:pPr>
            <w:r>
              <w:rPr>
                <w:rFonts w:ascii="Courier New" w:cs="Courier New" w:eastAsia="Courier New" w:hAnsi="Courier New"/>
                <w:color w:val="003366"/>
                <w:sz w:val="16"/>
                <w:szCs w:val="16"/>
              </w:rPr>
              <w:t xml:space="preserve">of overrun magnitude. Historical bid-to-final-cost ratio unused at approval stage.</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Upload PDFs. Tab A all papers. Tab B for Deep_Read=Yes. Stream summary last.</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WHAT TO COPY TO SYNTHESIS PROJECT</w:t>
      </w:r>
    </w:p>
    <w:p>
      <w:pPr>
        <w:spacing w:before="80" w:after="80"/>
        <w:jc w:val="left"/>
      </w:pPr>
      <w:r>
        <w:rPr>
          <w:rFonts w:ascii="Arial" w:cs="Arial" w:eastAsia="Arial" w:hAnsi="Arial"/>
          <w:b w:val="false"/>
          <w:bCs w:val="false"/>
          <w:i/>
          <w:iCs/>
          <w:color w:val="595959"/>
          <w:sz w:val="18"/>
          <w:szCs w:val="18"/>
        </w:rPr>
        <w:t xml:space="preserve">"Produce the complete Procurement Architecture stream output for the Synthesis Project: all Tab A records, all Tab B records, the stream gap sentence, and 3 forward citations to chase."</w:t>
      </w:r>
    </w:p>
    <w:p>
      <w:pPr>
        <w:spacing w:before="60" w:after="60"/>
      </w:pPr>
      <w:r>
        <w:rPr>
          <w:sz w:val="14"/>
          <w:szCs w:val="14"/>
        </w:rPr>
        <w:t xml:space="preserve"> </w:t>
      </w:r>
    </w:p>
    <w:p>
      <w:pPr>
        <w:spacing w:before="60" w:after="60"/>
      </w:pPr>
      <w:r>
        <w:rPr>
          <w:sz w:val="14"/>
          <w:szCs w:val="14"/>
        </w:rPr>
        <w:t xml:space="preserve">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center"/>
            </w:pPr>
            <w:r>
              <w:rPr>
                <w:rFonts w:ascii="Arial" w:cs="Arial" w:eastAsia="Arial" w:hAnsi="Arial"/>
                <w:b/>
                <w:bCs/>
                <w:i w:val="false"/>
                <w:iCs w:val="false"/>
                <w:color w:val="FFFFFF"/>
                <w:sz w:val="28"/>
                <w:szCs w:val="28"/>
              </w:rPr>
              <w:t xml:space="preserve">STREAM
25</w:t>
            </w:r>
          </w:p>
        </w:tc>
        <w:tc>
          <w:tcPr>
            <w:tcW w:type="dxa" w:w="8460"/>
            <w:tcBorders>
              <w:top w:val="single" w:color="1F3864" w:sz="1"/>
              <w:left w:val="single" w:color="1F3864" w:sz="1"/>
              <w:bottom w:val="single" w:color="1F3864" w:sz="1"/>
              <w:right w:val="single" w:color="1F3864" w:sz="1"/>
            </w:tcBorders>
            <w:shd w:fill="E8D5F0" w:val="clear"/>
            <w:tcMar>
              <w:top w:type="dxa" w:w="100"/>
              <w:left w:type="dxa" w:w="180"/>
              <w:bottom w:type="dxa" w:w="100"/>
              <w:right w:type="dxa" w:w="180"/>
            </w:tcMar>
          </w:tcPr>
          <w:p>
            <w:pPr>
              <w:spacing w:before="40" w:after="20"/>
              <w:jc w:val="left"/>
            </w:pPr>
            <w:r>
              <w:rPr>
                <w:rFonts w:ascii="Arial" w:cs="Arial" w:eastAsia="Arial" w:hAnsi="Arial"/>
                <w:b/>
                <w:bCs/>
                <w:i w:val="false"/>
                <w:iCs w:val="false"/>
                <w:color w:val="1F3864"/>
                <w:sz w:val="32"/>
                <w:szCs w:val="32"/>
              </w:rPr>
              <w:t xml:space="preserve">POLITICAL ECONOMY OF INFRASTRUCTURE APPROVAL</w:t>
            </w:r>
          </w:p>
          <w:p>
            <w:pPr>
              <w:spacing w:before="0" w:after="40"/>
              <w:jc w:val="left"/>
            </w:pPr>
            <w:r>
              <w:rPr>
                <w:rFonts w:ascii="Arial" w:cs="Arial" w:eastAsia="Arial" w:hAnsi="Arial"/>
                <w:b w:val="false"/>
                <w:bCs w:val="false"/>
                <w:i/>
                <w:iCs/>
                <w:color w:val="595959"/>
                <w:sz w:val="20"/>
                <w:szCs w:val="20"/>
              </w:rPr>
              <w:t xml:space="preserve">OCDI CONTEXT | Extension of Stream 05 (Institutional Quality)</w:t>
            </w:r>
          </w:p>
        </w:tc>
      </w:tr>
    </w:tbl>
    <w:p>
      <w:pPr>
        <w:spacing w:before="60" w:after="60"/>
      </w:pPr>
      <w:r>
        <w:rPr>
          <w:sz w:val="14"/>
          <w:szCs w:val="14"/>
        </w:rPr>
        <w:t xml:space="preserve"> </w:t>
      </w:r>
    </w:p>
    <w:p>
      <w:pPr>
        <w:spacing w:before="180" w:after="60"/>
      </w:pPr>
      <w:r>
        <w:rPr>
          <w:rFonts w:ascii="Arial" w:cs="Arial" w:eastAsia="Arial" w:hAnsi="Arial"/>
          <w:b/>
          <w:bCs/>
          <w:color w:val="990000"/>
          <w:sz w:val="24"/>
          <w:szCs w:val="24"/>
        </w:rPr>
        <w:t xml:space="preserve">TARGET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43C0C" w:sz="1"/>
              <w:left w:val="single" w:color="843C0C" w:sz="1"/>
              <w:bottom w:val="single" w:color="843C0C" w:sz="1"/>
              <w:right w:val="single" w:color="843C0C" w:sz="1"/>
            </w:tcBorders>
            <w:shd w:fill="FCE4D6" w:val="clear"/>
            <w:tcMar>
              <w:top w:type="dxa" w:w="120"/>
              <w:left w:type="dxa" w:w="180"/>
              <w:bottom w:type="dxa" w:w="120"/>
              <w:right w:type="dxa" w:w="180"/>
            </w:tcMar>
          </w:tcPr>
          <w:p>
            <w:pPr>
              <w:spacing w:before="50" w:after="50"/>
            </w:pPr>
            <w:r>
              <w:rPr>
                <w:rFonts w:ascii="Arial" w:cs="Arial" w:eastAsia="Arial" w:hAnsi="Arial"/>
                <w:color w:val="843C0C"/>
                <w:sz w:val="18"/>
                <w:szCs w:val="18"/>
              </w:rPr>
              <w:t xml:space="preserve">The political economy literature demonstrates that infrastructure projects are systematically approved with understated costs when political incentives favour announcement over accuracy — especially in election years. Flyvbjerg calls this 'strategic misrepresentation.' However, the electoral cycle effect has never been quantified as a measurable component of a pre-approval overrun prediction model. OCDI Component 5 (Political Cycle Risk) fills this gap.</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PROJECT NAME TO CREATE</w:t>
      </w:r>
    </w:p>
    <w:p>
      <w:pPr>
        <w:spacing w:before="80" w:after="80"/>
        <w:jc w:val="left"/>
      </w:pPr>
      <w:r>
        <w:rPr>
          <w:rFonts w:ascii="Arial" w:cs="Arial" w:eastAsia="Arial" w:hAnsi="Arial"/>
          <w:b/>
          <w:bCs/>
          <w:i w:val="false"/>
          <w:iCs w:val="false"/>
          <w:color w:val="2E75B6"/>
          <w:sz w:val="20"/>
          <w:szCs w:val="20"/>
        </w:rPr>
        <w:t xml:space="preserve">LSR — Stream 25: Political Economy of Infrastructure Approval</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SEARCH STRINGS (run in Google Scholar + Semantic Scholar)</w:t>
      </w:r>
    </w:p>
    <w:p>
      <w:pPr>
        <w:spacing w:before="60" w:after="0"/>
        <w:jc w:val="left"/>
      </w:pPr>
      <w:r>
        <w:rPr>
          <w:rFonts w:ascii="Arial" w:cs="Arial" w:eastAsia="Arial" w:hAnsi="Arial"/>
          <w:b/>
          <w:bCs/>
          <w:i w:val="false"/>
          <w:iCs w:val="false"/>
          <w:color w:val="1F3864"/>
          <w:sz w:val="18"/>
          <w:szCs w:val="18"/>
        </w:rPr>
        <w:t xml:space="preserve">SS-25-01:</w:t>
      </w:r>
    </w:p>
    <w:p>
      <w:pPr>
        <w:spacing w:before="0" w:after="60"/>
        <w:jc w:val="left"/>
      </w:pPr>
      <w:r>
        <w:rPr>
          <w:rFonts w:ascii="Arial" w:cs="Arial" w:eastAsia="Arial" w:hAnsi="Arial"/>
          <w:b w:val="false"/>
          <w:bCs w:val="false"/>
          <w:i/>
          <w:iCs/>
          <w:color w:val="595959"/>
          <w:sz w:val="18"/>
          <w:szCs w:val="18"/>
        </w:rPr>
        <w:t xml:space="preserve">Flyvbjerg Holm Buhl 2002 "underestimation costs megaprojects" deliberate political</w:t>
      </w:r>
    </w:p>
    <w:p>
      <w:pPr>
        <w:spacing w:before="60" w:after="0"/>
        <w:jc w:val="left"/>
      </w:pPr>
      <w:r>
        <w:rPr>
          <w:rFonts w:ascii="Arial" w:cs="Arial" w:eastAsia="Arial" w:hAnsi="Arial"/>
          <w:b/>
          <w:bCs/>
          <w:i w:val="false"/>
          <w:iCs w:val="false"/>
          <w:color w:val="1F3864"/>
          <w:sz w:val="18"/>
          <w:szCs w:val="18"/>
        </w:rPr>
        <w:t xml:space="preserve">SS-25-02:</w:t>
      </w:r>
    </w:p>
    <w:p>
      <w:pPr>
        <w:spacing w:before="0" w:after="60"/>
        <w:jc w:val="left"/>
      </w:pPr>
      <w:r>
        <w:rPr>
          <w:rFonts w:ascii="Arial" w:cs="Arial" w:eastAsia="Arial" w:hAnsi="Arial"/>
          <w:b w:val="false"/>
          <w:bCs w:val="false"/>
          <w:i/>
          <w:iCs/>
          <w:color w:val="595959"/>
          <w:sz w:val="18"/>
          <w:szCs w:val="18"/>
        </w:rPr>
        <w:t xml:space="preserve">Flyvbjerg 2009 "survival of the unfittest" infrastructure selection bias approval</w:t>
      </w:r>
    </w:p>
    <w:p>
      <w:pPr>
        <w:spacing w:before="60" w:after="0"/>
        <w:jc w:val="left"/>
      </w:pPr>
      <w:r>
        <w:rPr>
          <w:rFonts w:ascii="Arial" w:cs="Arial" w:eastAsia="Arial" w:hAnsi="Arial"/>
          <w:b/>
          <w:bCs/>
          <w:i w:val="false"/>
          <w:iCs w:val="false"/>
          <w:color w:val="1F3864"/>
          <w:sz w:val="18"/>
          <w:szCs w:val="18"/>
        </w:rPr>
        <w:t xml:space="preserve">SS-25-03:</w:t>
      </w:r>
    </w:p>
    <w:p>
      <w:pPr>
        <w:spacing w:before="0" w:after="60"/>
        <w:jc w:val="left"/>
      </w:pPr>
      <w:r>
        <w:rPr>
          <w:rFonts w:ascii="Arial" w:cs="Arial" w:eastAsia="Arial" w:hAnsi="Arial"/>
          <w:b w:val="false"/>
          <w:bCs w:val="false"/>
          <w:i/>
          <w:iCs/>
          <w:color w:val="595959"/>
          <w:sz w:val="18"/>
          <w:szCs w:val="18"/>
        </w:rPr>
        <w:t xml:space="preserve">Ansar Flyvbjerg Budzier Lunn 2014 "should we build more large dams" political economy</w:t>
      </w:r>
    </w:p>
    <w:p>
      <w:pPr>
        <w:spacing w:before="60" w:after="0"/>
        <w:jc w:val="left"/>
      </w:pPr>
      <w:r>
        <w:rPr>
          <w:rFonts w:ascii="Arial" w:cs="Arial" w:eastAsia="Arial" w:hAnsi="Arial"/>
          <w:b/>
          <w:bCs/>
          <w:i w:val="false"/>
          <w:iCs w:val="false"/>
          <w:color w:val="1F3864"/>
          <w:sz w:val="18"/>
          <w:szCs w:val="18"/>
        </w:rPr>
        <w:t xml:space="preserve">SS-25-04:</w:t>
      </w:r>
    </w:p>
    <w:p>
      <w:pPr>
        <w:spacing w:before="0" w:after="60"/>
        <w:jc w:val="left"/>
      </w:pPr>
      <w:r>
        <w:rPr>
          <w:rFonts w:ascii="Arial" w:cs="Arial" w:eastAsia="Arial" w:hAnsi="Arial"/>
          <w:b w:val="false"/>
          <w:bCs w:val="false"/>
          <w:i/>
          <w:iCs/>
          <w:color w:val="595959"/>
          <w:sz w:val="18"/>
          <w:szCs w:val="18"/>
        </w:rPr>
        <w:t xml:space="preserve">"election cycle" infrastructure "cost estimate" "strategic misrepresentation" approval</w:t>
      </w:r>
    </w:p>
    <w:p>
      <w:pPr>
        <w:spacing w:before="60" w:after="0"/>
        <w:jc w:val="left"/>
      </w:pPr>
      <w:r>
        <w:rPr>
          <w:rFonts w:ascii="Arial" w:cs="Arial" w:eastAsia="Arial" w:hAnsi="Arial"/>
          <w:b/>
          <w:bCs/>
          <w:i w:val="false"/>
          <w:iCs w:val="false"/>
          <w:color w:val="1F3864"/>
          <w:sz w:val="18"/>
          <w:szCs w:val="18"/>
        </w:rPr>
        <w:t xml:space="preserve">SS-25-05:</w:t>
      </w:r>
    </w:p>
    <w:p>
      <w:pPr>
        <w:spacing w:before="0" w:after="60"/>
        <w:jc w:val="left"/>
      </w:pPr>
      <w:r>
        <w:rPr>
          <w:rFonts w:ascii="Arial" w:cs="Arial" w:eastAsia="Arial" w:hAnsi="Arial"/>
          <w:b w:val="false"/>
          <w:bCs w:val="false"/>
          <w:i/>
          <w:iCs/>
          <w:color w:val="595959"/>
          <w:sz w:val="18"/>
          <w:szCs w:val="18"/>
        </w:rPr>
        <w:t xml:space="preserve">Boas Gans-Morse 2009 "neoliberalism" infrastructure political approval developing</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CHAT RESET PROMPT (paste when session drifts)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I am coding papers for the Political Economy of Infrastructure Approval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No papers coded yet in this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Target: Flyvbjerg 2002, 2009; Ansar et al. 2014; electoral cycle infrastructure literature;</w:t>
            </w:r>
          </w:p>
          <w:p>
            <w:pPr>
              <w:spacing w:before="40" w:after="40"/>
            </w:pPr>
            <w:r>
              <w:rPr>
                <w:rFonts w:ascii="Courier New" w:cs="Courier New" w:eastAsia="Courier New" w:hAnsi="Courier New"/>
                <w:color w:val="003366"/>
                <w:sz w:val="16"/>
                <w:szCs w:val="16"/>
              </w:rPr>
              <w:t xml:space="preserve">political salience and approval timing studies.</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Stream gap: Electoral cycle effect on cost estimate accuracy never quantified as a</w:t>
            </w:r>
          </w:p>
          <w:p>
            <w:pPr>
              <w:spacing w:before="40" w:after="40"/>
            </w:pPr>
            <w:r>
              <w:rPr>
                <w:rFonts w:ascii="Courier New" w:cs="Courier New" w:eastAsia="Courier New" w:hAnsi="Courier New"/>
                <w:color w:val="003366"/>
                <w:sz w:val="16"/>
                <w:szCs w:val="16"/>
              </w:rPr>
              <w:t xml:space="preserve">measurable component of a pre-approval prediction model.</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Upload PDFs. Tab A all papers. Tab B for Deep_Read=Yes. Stream summary last.</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WHAT TO COPY TO SYNTHESIS PROJECT</w:t>
      </w:r>
    </w:p>
    <w:p>
      <w:pPr>
        <w:spacing w:before="80" w:after="80"/>
        <w:jc w:val="left"/>
      </w:pPr>
      <w:r>
        <w:rPr>
          <w:rFonts w:ascii="Arial" w:cs="Arial" w:eastAsia="Arial" w:hAnsi="Arial"/>
          <w:b w:val="false"/>
          <w:bCs w:val="false"/>
          <w:i/>
          <w:iCs/>
          <w:color w:val="595959"/>
          <w:sz w:val="18"/>
          <w:szCs w:val="18"/>
        </w:rPr>
        <w:t xml:space="preserve">"Produce the complete Political Economy of Infrastructure Approval stream output for the Synthesis Project: all Tab A records, all Tab B records, the stream gap sentence, and 3 forward citations to chase."</w:t>
      </w:r>
    </w:p>
    <w:p>
      <w:pPr>
        <w:spacing w:before="60" w:after="60"/>
      </w:pPr>
      <w:r>
        <w:rPr>
          <w:sz w:val="14"/>
          <w:szCs w:val="14"/>
        </w:rPr>
        <w:t xml:space="preserve"> </w:t>
      </w:r>
    </w:p>
    <w:p>
      <w:pPr>
        <w:spacing w:before="60" w:after="60"/>
      </w:pPr>
      <w:r>
        <w:rPr>
          <w:sz w:val="14"/>
          <w:szCs w:val="14"/>
        </w:rPr>
        <w:t xml:space="preserve">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center"/>
            </w:pPr>
            <w:r>
              <w:rPr>
                <w:rFonts w:ascii="Arial" w:cs="Arial" w:eastAsia="Arial" w:hAnsi="Arial"/>
                <w:b/>
                <w:bCs/>
                <w:i w:val="false"/>
                <w:iCs w:val="false"/>
                <w:color w:val="FFFFFF"/>
                <w:sz w:val="28"/>
                <w:szCs w:val="28"/>
              </w:rPr>
              <w:t xml:space="preserve">STREAM
26</w:t>
            </w:r>
          </w:p>
        </w:tc>
        <w:tc>
          <w:tcPr>
            <w:tcW w:type="dxa" w:w="8460"/>
            <w:tcBorders>
              <w:top w:val="single" w:color="1F3864" w:sz="1"/>
              <w:left w:val="single" w:color="1F3864" w:sz="1"/>
              <w:bottom w:val="single" w:color="1F3864" w:sz="1"/>
              <w:right w:val="single" w:color="1F3864" w:sz="1"/>
            </w:tcBorders>
            <w:shd w:fill="D0E4E8" w:val="clear"/>
            <w:tcMar>
              <w:top w:type="dxa" w:w="100"/>
              <w:left w:type="dxa" w:w="180"/>
              <w:bottom w:type="dxa" w:w="100"/>
              <w:right w:type="dxa" w:w="180"/>
            </w:tcMar>
          </w:tcPr>
          <w:p>
            <w:pPr>
              <w:spacing w:before="40" w:after="20"/>
              <w:jc w:val="left"/>
            </w:pPr>
            <w:r>
              <w:rPr>
                <w:rFonts w:ascii="Arial" w:cs="Arial" w:eastAsia="Arial" w:hAnsi="Arial"/>
                <w:b/>
                <w:bCs/>
                <w:i w:val="false"/>
                <w:iCs w:val="false"/>
                <w:color w:val="1F3864"/>
                <w:sz w:val="32"/>
                <w:szCs w:val="32"/>
              </w:rPr>
              <w:t xml:space="preserve">NCT / SYSTEMS DYNAMICS / COLLAPSE THEORY</w:t>
            </w:r>
          </w:p>
          <w:p>
            <w:pPr>
              <w:spacing w:before="0" w:after="40"/>
              <w:jc w:val="left"/>
            </w:pPr>
            <w:r>
              <w:rPr>
                <w:rFonts w:ascii="Arial" w:cs="Arial" w:eastAsia="Arial" w:hAnsi="Arial"/>
                <w:b w:val="false"/>
                <w:bCs w:val="false"/>
                <w:i/>
                <w:iCs/>
                <w:color w:val="595959"/>
                <w:sz w:val="20"/>
                <w:szCs w:val="20"/>
              </w:rPr>
              <w:t xml:space="preserve">MODEL FOUNDATION | Supports LSR Equation &amp; OCDI Phi Score</w:t>
            </w:r>
          </w:p>
        </w:tc>
      </w:tr>
    </w:tbl>
    <w:p>
      <w:pPr>
        <w:spacing w:before="60" w:after="60"/>
      </w:pPr>
      <w:r>
        <w:rPr>
          <w:sz w:val="14"/>
          <w:szCs w:val="14"/>
        </w:rPr>
        <w:t xml:space="preserve"> </w:t>
      </w:r>
    </w:p>
    <w:p>
      <w:pPr>
        <w:spacing w:before="180" w:after="60"/>
      </w:pPr>
      <w:r>
        <w:rPr>
          <w:rFonts w:ascii="Arial" w:cs="Arial" w:eastAsia="Arial" w:hAnsi="Arial"/>
          <w:b/>
          <w:bCs/>
          <w:color w:val="990000"/>
          <w:sz w:val="24"/>
          <w:szCs w:val="24"/>
        </w:rPr>
        <w:t xml:space="preserve">TARGET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43C0C" w:sz="1"/>
              <w:left w:val="single" w:color="843C0C" w:sz="1"/>
              <w:bottom w:val="single" w:color="843C0C" w:sz="1"/>
              <w:right w:val="single" w:color="843C0C" w:sz="1"/>
            </w:tcBorders>
            <w:shd w:fill="FCE4D6" w:val="clear"/>
            <w:tcMar>
              <w:top w:type="dxa" w:w="120"/>
              <w:left w:type="dxa" w:w="180"/>
              <w:bottom w:type="dxa" w:w="120"/>
              <w:right w:type="dxa" w:w="180"/>
            </w:tcMar>
          </w:tcPr>
          <w:p>
            <w:pPr>
              <w:spacing w:before="50" w:after="50"/>
            </w:pPr>
            <w:r>
              <w:rPr>
                <w:rFonts w:ascii="Arial" w:cs="Arial" w:eastAsia="Arial" w:hAnsi="Arial"/>
                <w:color w:val="843C0C"/>
                <w:sz w:val="18"/>
                <w:szCs w:val="18"/>
              </w:rPr>
              <w:t xml:space="preserve">The systems dynamics and societal collapse literature establishes universal scaling laws for complex system failure (Tainter 1988; West 2017; Lotka-Volterra extensions). The LSR framework applies these constants (k=0.8654, ν=0.8354) to development projects without re-estimation. No study has formally validated the cross-domain application of collapse theory constants to infrastructure project failure — or tested whether the same constants predict cost overrun dynamics in developed-nation projects. This stream justifies both the LSR equation and the OCDI Phi score.</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PROJECT NAME TO CREATE</w:t>
      </w:r>
    </w:p>
    <w:p>
      <w:pPr>
        <w:spacing w:before="80" w:after="80"/>
        <w:jc w:val="left"/>
      </w:pPr>
      <w:r>
        <w:rPr>
          <w:rFonts w:ascii="Arial" w:cs="Arial" w:eastAsia="Arial" w:hAnsi="Arial"/>
          <w:b/>
          <w:bCs/>
          <w:i w:val="false"/>
          <w:iCs w:val="false"/>
          <w:color w:val="2E75B6"/>
          <w:sz w:val="20"/>
          <w:szCs w:val="20"/>
        </w:rPr>
        <w:t xml:space="preserve">LSR — Stream 26: NCT / Systems Dynamics / Collapse Theory</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SEARCH STRINGS (run in Google Scholar + Semantic Scholar)</w:t>
      </w:r>
    </w:p>
    <w:p>
      <w:pPr>
        <w:spacing w:before="60" w:after="0"/>
        <w:jc w:val="left"/>
      </w:pPr>
      <w:r>
        <w:rPr>
          <w:rFonts w:ascii="Arial" w:cs="Arial" w:eastAsia="Arial" w:hAnsi="Arial"/>
          <w:b/>
          <w:bCs/>
          <w:i w:val="false"/>
          <w:iCs w:val="false"/>
          <w:color w:val="1F3864"/>
          <w:sz w:val="18"/>
          <w:szCs w:val="18"/>
        </w:rPr>
        <w:t xml:space="preserve">SS-26-01:</w:t>
      </w:r>
    </w:p>
    <w:p>
      <w:pPr>
        <w:spacing w:before="0" w:after="60"/>
        <w:jc w:val="left"/>
      </w:pPr>
      <w:r>
        <w:rPr>
          <w:rFonts w:ascii="Arial" w:cs="Arial" w:eastAsia="Arial" w:hAnsi="Arial"/>
          <w:b w:val="false"/>
          <w:bCs w:val="false"/>
          <w:i/>
          <w:iCs/>
          <w:color w:val="595959"/>
          <w:sz w:val="18"/>
          <w:szCs w:val="18"/>
        </w:rPr>
        <w:t xml:space="preserve">Tainter 1988 "collapse of complex societies" marginal returns complexity scaling</w:t>
      </w:r>
    </w:p>
    <w:p>
      <w:pPr>
        <w:spacing w:before="60" w:after="0"/>
        <w:jc w:val="left"/>
      </w:pPr>
      <w:r>
        <w:rPr>
          <w:rFonts w:ascii="Arial" w:cs="Arial" w:eastAsia="Arial" w:hAnsi="Arial"/>
          <w:b/>
          <w:bCs/>
          <w:i w:val="false"/>
          <w:iCs w:val="false"/>
          <w:color w:val="1F3864"/>
          <w:sz w:val="18"/>
          <w:szCs w:val="18"/>
        </w:rPr>
        <w:t xml:space="preserve">SS-26-02:</w:t>
      </w:r>
    </w:p>
    <w:p>
      <w:pPr>
        <w:spacing w:before="0" w:after="60"/>
        <w:jc w:val="left"/>
      </w:pPr>
      <w:r>
        <w:rPr>
          <w:rFonts w:ascii="Arial" w:cs="Arial" w:eastAsia="Arial" w:hAnsi="Arial"/>
          <w:b w:val="false"/>
          <w:bCs w:val="false"/>
          <w:i/>
          <w:iCs/>
          <w:color w:val="595959"/>
          <w:sz w:val="18"/>
          <w:szCs w:val="18"/>
        </w:rPr>
        <w:t xml:space="preserve">West 2017 "scale" universal scaling laws cities companies biology</w:t>
      </w:r>
    </w:p>
    <w:p>
      <w:pPr>
        <w:spacing w:before="60" w:after="0"/>
        <w:jc w:val="left"/>
      </w:pPr>
      <w:r>
        <w:rPr>
          <w:rFonts w:ascii="Arial" w:cs="Arial" w:eastAsia="Arial" w:hAnsi="Arial"/>
          <w:b/>
          <w:bCs/>
          <w:i w:val="false"/>
          <w:iCs w:val="false"/>
          <w:color w:val="1F3864"/>
          <w:sz w:val="18"/>
          <w:szCs w:val="18"/>
        </w:rPr>
        <w:t xml:space="preserve">SS-26-03:</w:t>
      </w:r>
    </w:p>
    <w:p>
      <w:pPr>
        <w:spacing w:before="0" w:after="60"/>
        <w:jc w:val="left"/>
      </w:pPr>
      <w:r>
        <w:rPr>
          <w:rFonts w:ascii="Arial" w:cs="Arial" w:eastAsia="Arial" w:hAnsi="Arial"/>
          <w:b w:val="false"/>
          <w:bCs w:val="false"/>
          <w:i/>
          <w:iCs/>
          <w:color w:val="595959"/>
          <w:sz w:val="18"/>
          <w:szCs w:val="18"/>
        </w:rPr>
        <w:t xml:space="preserve">Lotka 1925 Volterra 1926 predator-prey dynamics systems equilibrium mathematics</w:t>
      </w:r>
    </w:p>
    <w:p>
      <w:pPr>
        <w:spacing w:before="60" w:after="0"/>
        <w:jc w:val="left"/>
      </w:pPr>
      <w:r>
        <w:rPr>
          <w:rFonts w:ascii="Arial" w:cs="Arial" w:eastAsia="Arial" w:hAnsi="Arial"/>
          <w:b/>
          <w:bCs/>
          <w:i w:val="false"/>
          <w:iCs w:val="false"/>
          <w:color w:val="1F3864"/>
          <w:sz w:val="18"/>
          <w:szCs w:val="18"/>
        </w:rPr>
        <w:t xml:space="preserve">SS-26-04:</w:t>
      </w:r>
    </w:p>
    <w:p>
      <w:pPr>
        <w:spacing w:before="0" w:after="60"/>
        <w:jc w:val="left"/>
      </w:pPr>
      <w:r>
        <w:rPr>
          <w:rFonts w:ascii="Arial" w:cs="Arial" w:eastAsia="Arial" w:hAnsi="Arial"/>
          <w:b w:val="false"/>
          <w:bCs w:val="false"/>
          <w:i/>
          <w:iCs/>
          <w:color w:val="595959"/>
          <w:sz w:val="18"/>
          <w:szCs w:val="18"/>
        </w:rPr>
        <w:t xml:space="preserve">"systems dynamics" Forrester 1961 industrial dynamics complex systems failure</w:t>
      </w:r>
    </w:p>
    <w:p>
      <w:pPr>
        <w:spacing w:before="60" w:after="0"/>
        <w:jc w:val="left"/>
      </w:pPr>
      <w:r>
        <w:rPr>
          <w:rFonts w:ascii="Arial" w:cs="Arial" w:eastAsia="Arial" w:hAnsi="Arial"/>
          <w:b/>
          <w:bCs/>
          <w:i w:val="false"/>
          <w:iCs w:val="false"/>
          <w:color w:val="1F3864"/>
          <w:sz w:val="18"/>
          <w:szCs w:val="18"/>
        </w:rPr>
        <w:t xml:space="preserve">SS-26-05:</w:t>
      </w:r>
    </w:p>
    <w:p>
      <w:pPr>
        <w:spacing w:before="0" w:after="60"/>
        <w:jc w:val="left"/>
      </w:pPr>
      <w:r>
        <w:rPr>
          <w:rFonts w:ascii="Arial" w:cs="Arial" w:eastAsia="Arial" w:hAnsi="Arial"/>
          <w:b w:val="false"/>
          <w:bCs w:val="false"/>
          <w:i/>
          <w:iCs/>
          <w:color w:val="595959"/>
          <w:sz w:val="18"/>
          <w:szCs w:val="18"/>
        </w:rPr>
        <w:t xml:space="preserve">"NCT" OR "network complexity theory" OR "complexity catastrophe" project failure scaling</w:t>
      </w:r>
    </w:p>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CHAT RESET PROMPT (paste when session drifts)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I am coding papers for the NCT / Systems Dynamics / Collapse Theory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No papers coded yet in this stream.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Target: Tainter 1988 (collapse); West 2017 (scaling); Lotka-Volterra (predator-prey);</w:t>
            </w:r>
          </w:p>
          <w:p>
            <w:pPr>
              <w:spacing w:before="40" w:after="40"/>
            </w:pPr>
            <w:r>
              <w:rPr>
                <w:rFonts w:ascii="Courier New" w:cs="Courier New" w:eastAsia="Courier New" w:hAnsi="Courier New"/>
                <w:color w:val="003366"/>
                <w:sz w:val="16"/>
                <w:szCs w:val="16"/>
              </w:rPr>
              <w:t xml:space="preserve">Forrester systems dynamics; complexity catastrophe literature.</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This stream is different from others: it justifies the MATHEMATICAL FOUNDATION</w:t>
            </w:r>
          </w:p>
          <w:p>
            <w:pPr>
              <w:spacing w:before="40" w:after="40"/>
            </w:pPr>
            <w:r>
              <w:rPr>
                <w:rFonts w:ascii="Courier New" w:cs="Courier New" w:eastAsia="Courier New" w:hAnsi="Courier New"/>
                <w:color w:val="003366"/>
                <w:sz w:val="16"/>
                <w:szCs w:val="16"/>
              </w:rPr>
              <w:t xml:space="preserve">of the LSR equation (T_failure = k × C₀ × τ × M / (X_S × |1−Φ|^ν)) and the</w:t>
            </w:r>
          </w:p>
          <w:p>
            <w:pPr>
              <w:spacing w:before="40" w:after="40"/>
            </w:pPr>
            <w:r>
              <w:rPr>
                <w:rFonts w:ascii="Courier New" w:cs="Courier New" w:eastAsia="Courier New" w:hAnsi="Courier New"/>
                <w:color w:val="003366"/>
                <w:sz w:val="16"/>
                <w:szCs w:val="16"/>
              </w:rPr>
              <w:t xml:space="preserve">cross-domain application of collapse constants to project failure.</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Stream gap: No study validates collapse theory constants cross-domain to project failure.</w:t>
            </w:r>
          </w:p>
          <w:p>
            <w:pPr>
              <w:spacing w:before="40" w:after="40"/>
            </w:pPr>
            <w:r>
              <w:rPr>
                <w:rFonts w:ascii="Courier New" w:cs="Courier New" w:eastAsia="Courier New" w:hAnsi="Courier New"/>
                <w:color w:val="003366"/>
                <w:sz w:val="16"/>
                <w:szCs w:val="16"/>
              </w:rPr>
              <w:t xml:space="preserve">The universal k and ν constants applied without re-estimation is the bold claim.</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Upload PDFs. Tab A all papers. Tab B for Deep_Read=Yes. Stream summary last.</w:t>
            </w:r>
          </w:p>
        </w:tc>
      </w:tr>
    </w:tbl>
    <w:p>
      <w:pPr>
        <w:spacing w:before="60" w:after="60"/>
      </w:pPr>
      <w:r>
        <w:rPr>
          <w:sz w:val="14"/>
          <w:szCs w:val="14"/>
        </w:rPr>
        <w:t xml:space="preserve"> </w:t>
      </w:r>
    </w:p>
    <w:p>
      <w:pPr>
        <w:spacing w:before="180" w:after="60"/>
      </w:pPr>
      <w:r>
        <w:rPr>
          <w:rFonts w:ascii="Arial" w:cs="Arial" w:eastAsia="Arial" w:hAnsi="Arial"/>
          <w:b/>
          <w:bCs/>
          <w:color w:val="1F3864"/>
          <w:sz w:val="24"/>
          <w:szCs w:val="24"/>
        </w:rPr>
        <w:t xml:space="preserve">WHAT TO COPY TO SYNTHESIS PROJECT</w:t>
      </w:r>
    </w:p>
    <w:p>
      <w:pPr>
        <w:spacing w:before="80" w:after="80"/>
        <w:jc w:val="left"/>
      </w:pPr>
      <w:r>
        <w:rPr>
          <w:rFonts w:ascii="Arial" w:cs="Arial" w:eastAsia="Arial" w:hAnsi="Arial"/>
          <w:b w:val="false"/>
          <w:bCs w:val="false"/>
          <w:i/>
          <w:iCs/>
          <w:color w:val="595959"/>
          <w:sz w:val="18"/>
          <w:szCs w:val="18"/>
        </w:rPr>
        <w:t xml:space="preserve">"Produce the complete NCT / Systems Dynamics / Collapse Theory stream output for the Synthesis Project: all Tab A records, all Tab B records, the stream gap sentence, and 3 forward citations to chase."</w:t>
      </w:r>
    </w:p>
    <w:p>
      <w:pPr>
        <w:spacing w:before="60" w:after="60"/>
      </w:pPr>
      <w:r>
        <w:rPr>
          <w:sz w:val="14"/>
          <w:szCs w:val="14"/>
        </w:rPr>
        <w:t xml:space="preserve"> </w:t>
      </w:r>
    </w:p>
    <w:p>
      <w:pPr>
        <w:spacing w:before="60" w:after="60"/>
      </w:pPr>
      <w:r>
        <w:rPr>
          <w:sz w:val="14"/>
          <w:szCs w:val="14"/>
        </w:rPr>
        <w:t xml:space="preserve"> </w:t>
      </w:r>
    </w:p>
    <w:p>
      <w:r>
        <w:br w:type="page"/>
      </w:r>
    </w:p>
    <w:p>
      <w:pPr>
        <w:pBdr>
          <w:bottom w:val="single" w:color="2E75B6" w:sz="8" w:space="1"/>
        </w:pBdr>
        <w:spacing w:before="320" w:after="160"/>
      </w:pPr>
      <w:r>
        <w:rPr>
          <w:rFonts w:ascii="Arial" w:cs="Arial" w:eastAsia="Arial" w:hAnsi="Arial"/>
          <w:b/>
          <w:bCs/>
          <w:color w:val="1F3864"/>
          <w:sz w:val="44"/>
          <w:szCs w:val="44"/>
        </w:rPr>
        <w:t xml:space="preserve">DO YOU NEED A MATHEMATICS / STATISTICS / LOGIC FOLDER?</w:t>
      </w:r>
    </w:p>
    <w:p>
      <w:pPr>
        <w:spacing w:before="240" w:after="80"/>
      </w:pPr>
      <w:r>
        <w:rPr>
          <w:rFonts w:ascii="Arial" w:cs="Arial" w:eastAsia="Arial" w:hAnsi="Arial"/>
          <w:b/>
          <w:bCs/>
          <w:color w:val="1E5631"/>
          <w:sz w:val="30"/>
          <w:szCs w:val="30"/>
        </w:rPr>
        <w:t xml:space="preserve">Short answer: Yes — but structured differently from the literature streams.</w:t>
      </w:r>
    </w:p>
    <w:p>
      <w:pPr>
        <w:spacing w:before="60" w:after="60"/>
      </w:pPr>
      <w:r>
        <w:rPr>
          <w:sz w:val="14"/>
          <w:szCs w:val="14"/>
        </w:rPr>
        <w:t xml:space="preserve"> </w:t>
      </w:r>
    </w:p>
    <w:p>
      <w:pPr>
        <w:spacing w:before="80" w:after="80"/>
        <w:jc w:val="left"/>
      </w:pPr>
      <w:r>
        <w:rPr>
          <w:rFonts w:ascii="Arial" w:cs="Arial" w:eastAsia="Arial" w:hAnsi="Arial"/>
          <w:b w:val="false"/>
          <w:bCs w:val="false"/>
          <w:i w:val="false"/>
          <w:iCs w:val="false"/>
          <w:color w:val="000000"/>
          <w:sz w:val="19"/>
          <w:szCs w:val="19"/>
        </w:rPr>
        <w:t xml:space="preserve">The literature streams (01–26) are for finding and coding papers that justify gaps. The maths/stats/logic material serves a different purpose: it justifies the technical choices inside the model itself. It does not need to be coded into Tab A/Tab B format — but it does need to exist as a reference you can cite and a foundation you can defend.</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F6000" w:sz="1"/>
              <w:left w:val="single" w:color="7F6000" w:sz="1"/>
              <w:bottom w:val="single" w:color="7F6000" w:sz="1"/>
              <w:right w:val="single" w:color="7F6000" w:sz="1"/>
            </w:tcBorders>
            <w:shd w:fill="FFF2CC" w:val="clear"/>
            <w:tcMar>
              <w:top w:type="dxa" w:w="120"/>
              <w:left w:type="dxa" w:w="180"/>
              <w:bottom w:type="dxa" w:w="120"/>
              <w:right w:type="dxa" w:w="180"/>
            </w:tcMar>
          </w:tcPr>
          <w:p>
            <w:pPr>
              <w:spacing w:before="50" w:after="50"/>
            </w:pPr>
            <w:r>
              <w:rPr>
                <w:rFonts w:ascii="Arial" w:cs="Arial" w:eastAsia="Arial" w:hAnsi="Arial"/>
                <w:color w:val="7F6000"/>
                <w:sz w:val="18"/>
                <w:szCs w:val="18"/>
              </w:rPr>
              <w:t xml:space="preserve">THE RULE: Every number in the model needs a citation or a derivation.</w:t>
            </w:r>
          </w:p>
          <w:p>
            <w:pPr>
              <w:spacing w:before="50" w:after="50"/>
            </w:pPr>
            <w:r>
              <w:rPr>
                <w:rFonts w:ascii="Arial" w:cs="Arial" w:eastAsia="Arial" w:hAnsi="Arial"/>
                <w:color w:val="7F6000"/>
                <w:sz w:val="18"/>
                <w:szCs w:val="18"/>
              </w:rPr>
              <w:t xml:space="preserve"/>
            </w:r>
          </w:p>
          <w:p>
            <w:pPr>
              <w:spacing w:before="50" w:after="50"/>
            </w:pPr>
            <w:r>
              <w:rPr>
                <w:rFonts w:ascii="Arial" w:cs="Arial" w:eastAsia="Arial" w:hAnsi="Arial"/>
                <w:color w:val="7F6000"/>
                <w:sz w:val="18"/>
                <w:szCs w:val="18"/>
              </w:rPr>
              <w:t xml:space="preserve">k = 0.8654  → Where did this come from? Cite the collapse dataset + calculation.</w:t>
            </w:r>
          </w:p>
          <w:p>
            <w:pPr>
              <w:spacing w:before="50" w:after="50"/>
            </w:pPr>
            <w:r>
              <w:rPr>
                <w:rFonts w:ascii="Arial" w:cs="Arial" w:eastAsia="Arial" w:hAnsi="Arial"/>
                <w:color w:val="7F6000"/>
                <w:sz w:val="18"/>
                <w:szCs w:val="18"/>
              </w:rPr>
              <w:t xml:space="preserve">ν = 0.8354  → Same. Critical exponent — cite West (2017) or derive from Tainter data.</w:t>
            </w:r>
          </w:p>
          <w:p>
            <w:pPr>
              <w:spacing w:before="50" w:after="50"/>
            </w:pPr>
            <w:r>
              <w:rPr>
                <w:rFonts w:ascii="Arial" w:cs="Arial" w:eastAsia="Arial" w:hAnsi="Arial"/>
                <w:color w:val="7F6000"/>
                <w:sz w:val="18"/>
                <w:szCs w:val="18"/>
              </w:rPr>
              <w:t xml:space="preserve">Firth (1993) → Cite the original Jeffreys prior paper. One sentence in methods.</w:t>
            </w:r>
          </w:p>
          <w:p>
            <w:pPr>
              <w:spacing w:before="50" w:after="50"/>
            </w:pPr>
            <w:r>
              <w:rPr>
                <w:rFonts w:ascii="Arial" w:cs="Arial" w:eastAsia="Arial" w:hAnsi="Arial"/>
                <w:color w:val="7F6000"/>
                <w:sz w:val="18"/>
                <w:szCs w:val="18"/>
              </w:rPr>
              <w:t xml:space="preserve">Oster (2019) → Cite for δ bounds. Required if you report Oster bounds.</w:t>
            </w:r>
          </w:p>
          <w:p>
            <w:pPr>
              <w:spacing w:before="50" w:after="50"/>
            </w:pPr>
            <w:r>
              <w:rPr>
                <w:rFonts w:ascii="Arial" w:cs="Arial" w:eastAsia="Arial" w:hAnsi="Arial"/>
                <w:color w:val="7F6000"/>
                <w:sz w:val="18"/>
                <w:szCs w:val="18"/>
              </w:rPr>
              <w:t xml:space="preserve">E-values    → VanderWeele &amp; Ding (2017). Cite for E-value=54.1.</w:t>
            </w:r>
          </w:p>
          <w:p>
            <w:pPr>
              <w:spacing w:before="50" w:after="50"/>
            </w:pPr>
            <w:r>
              <w:rPr>
                <w:rFonts w:ascii="Arial" w:cs="Arial" w:eastAsia="Arial" w:hAnsi="Arial"/>
                <w:color w:val="7F6000"/>
                <w:sz w:val="18"/>
                <w:szCs w:val="18"/>
              </w:rPr>
              <w:t xml:space="preserve">Rosenbaum Γ → Rosenbaum (2002). Cite for Γ=4.2.</w:t>
            </w:r>
          </w:p>
          <w:p>
            <w:pPr>
              <w:spacing w:before="50" w:after="50"/>
            </w:pPr>
            <w:r>
              <w:rPr>
                <w:rFonts w:ascii="Arial" w:cs="Arial" w:eastAsia="Arial" w:hAnsi="Arial"/>
                <w:color w:val="7F6000"/>
                <w:sz w:val="18"/>
                <w:szCs w:val="18"/>
              </w:rPr>
              <w:t xml:space="preserve">Bootstrap CI→ Efron &amp; Hastie (2016) or Efron (1979). Cite for 73.2% mediation CI.</w:t>
            </w:r>
          </w:p>
        </w:tc>
      </w:tr>
    </w:tbl>
    <w:p>
      <w:pPr>
        <w:spacing w:before="60" w:after="60"/>
      </w:pPr>
      <w:r>
        <w:rPr>
          <w:sz w:val="14"/>
          <w:szCs w:val="14"/>
        </w:rPr>
        <w:t xml:space="preserve"> </w:t>
      </w:r>
    </w:p>
    <w:p>
      <w:pPr>
        <w:spacing w:before="60" w:after="60"/>
      </w:pPr>
      <w:r>
        <w:rPr>
          <w:sz w:val="14"/>
          <w:szCs w:val="14"/>
        </w:rPr>
        <w:t xml:space="preserve"> </w:t>
      </w:r>
    </w:p>
    <w:p>
      <w:pPr>
        <w:spacing w:before="240" w:after="80"/>
      </w:pPr>
      <w:r>
        <w:rPr>
          <w:rFonts w:ascii="Arial" w:cs="Arial" w:eastAsia="Arial" w:hAnsi="Arial"/>
          <w:b/>
          <w:bCs/>
          <w:color w:val="1F3864"/>
          <w:sz w:val="30"/>
          <w:szCs w:val="30"/>
        </w:rPr>
        <w:t xml:space="preserve">WHAT THE FOLDER CONTAINS — THREE TYPES OF MATERIAL</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400"/>
        <w:gridCol w:w="2360"/>
      </w:tblGrid>
      <w:tr>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What It Is</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Examples</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Format</w:t>
            </w:r>
          </w:p>
        </w:tc>
      </w:tr>
      <w:tr>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TYPE 1
Foundation maths</w:t>
            </w:r>
          </w:p>
        </w:tc>
        <w:tc>
          <w:tcPr>
            <w:tcW w:type="dxa" w:w="3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The mathematical derivations and proofs that underpin the LSR equation, Phi score, and OCDI. You need to be able to derive these from first principles if challenged.</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T_failure derivation; Phi mapping from ODQI; NCT constant derivation from collapse data; Lotka-Volterra equilibrium proof</w:t>
            </w:r>
          </w:p>
        </w:tc>
        <w:tc>
          <w:tcPr>
            <w:tcW w:type="dxa" w:w="2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NOT a literature stream. A working paper or appendix you write yourself. Store in a separate Claude project: 'LSR — Mathematical Foundations'</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TYPE 2
Statistical methods citations</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The published papers behind every statistical technique you use. One citation each. These go in the methods section of the paper.</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Firth 1993 (penalised logistic); Oster 2019 (selection bounds); VanderWeele &amp; Ding 2017 (E-values); Rosenbaum 2002 (sensitivity); Efron 1979 (bootstrap); Preacher &amp; Hayes 2008 (mediation)</w:t>
            </w:r>
          </w:p>
        </w:tc>
        <w:tc>
          <w:tcPr>
            <w:tcW w:type="dxa" w:w="2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NOT a full stream. A reference list. 10–15 papers. Store in a Claude project: 'LSR — Methods Citations'</w:t>
            </w:r>
          </w:p>
        </w:tc>
      </w:tr>
      <w:tr>
        <w:tc>
          <w:tcPr>
            <w:tcW w:type="dxa" w:w="16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TYPE 3
Stream 26 — NCT/Collapse theory</w:t>
            </w:r>
          </w:p>
        </w:tc>
        <w:tc>
          <w:tcPr>
            <w:tcW w:type="dxa" w:w="30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1E5631"/>
                <w:sz w:val="16"/>
                <w:szCs w:val="16"/>
              </w:rPr>
              <w:t xml:space="preserve">This IS a literature stream (above) because it contains papers you need to CODE and find gaps in — the cross-domain constant application is a gap claim that needs literature support.</w:t>
            </w:r>
          </w:p>
        </w:tc>
        <w:tc>
          <w:tcPr>
            <w:tcW w:type="dxa" w:w="24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1E5631"/>
                <w:sz w:val="16"/>
                <w:szCs w:val="16"/>
              </w:rPr>
              <w:t xml:space="preserve">Tainter 1988; West 2017; Forrester; Lotka-Volterra; complexity catastrophe literature</w:t>
            </w:r>
          </w:p>
        </w:tc>
        <w:tc>
          <w:tcPr>
            <w:tcW w:type="dxa" w:w="236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1E5631"/>
                <w:sz w:val="16"/>
                <w:szCs w:val="16"/>
              </w:rPr>
              <w:t xml:space="preserve">Full stream — coded exactly like Streams 01–25. Already specified above as Stream 26.</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6"/>
                <w:szCs w:val="16"/>
              </w:rPr>
              <w:t xml:space="preserve">TYPE 4
Logic / philosophy of science</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Only needed if you are making epistemological claims about observational inference, causality without RCT, or the philosophy of predictive models. Most PhD committees won't push this far.</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Pearl 2009 (causality); Popper (falsifiability); Mayo (error statistics); Freedman (on observational data)</w:t>
            </w:r>
          </w:p>
        </w:tc>
        <w:tc>
          <w:tcPr>
            <w:tcW w:type="dxa" w:w="2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6"/>
                <w:szCs w:val="16"/>
              </w:rPr>
              <w:t xml:space="preserve">Optional. If your examiners include a methodologist, add 5 papers on observational causal inference. Otherwise skip.</w:t>
            </w:r>
          </w:p>
        </w:tc>
      </w:tr>
    </w:tbl>
    <w:p>
      <w:pPr>
        <w:spacing w:before="60" w:after="60"/>
      </w:pPr>
      <w:r>
        <w:rPr>
          <w:sz w:val="14"/>
          <w:szCs w:val="14"/>
        </w:rPr>
        <w:t xml:space="preserve"> </w:t>
      </w:r>
    </w:p>
    <w:p>
      <w:pPr>
        <w:spacing w:before="60" w:after="60"/>
      </w:pPr>
      <w:r>
        <w:rPr>
          <w:sz w:val="14"/>
          <w:szCs w:val="14"/>
        </w:rPr>
        <w:t xml:space="preserve"> </w:t>
      </w:r>
    </w:p>
    <w:p>
      <w:pPr>
        <w:spacing w:before="240" w:after="80"/>
      </w:pPr>
      <w:r>
        <w:rPr>
          <w:rFonts w:ascii="Arial" w:cs="Arial" w:eastAsia="Arial" w:hAnsi="Arial"/>
          <w:b/>
          <w:bCs/>
          <w:color w:val="1F3864"/>
          <w:sz w:val="30"/>
          <w:szCs w:val="30"/>
        </w:rPr>
        <w:t xml:space="preserve">THE THREE CLAUDE PROJECTS TO CREATE</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Project Name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Contents</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Purpose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FFFFFF"/>
                <w:sz w:val="18"/>
                <w:szCs w:val="18"/>
              </w:rPr>
              <w:t xml:space="preserve">When to Build</w:t>
            </w:r>
          </w:p>
        </w:tc>
      </w:tr>
      <w:tr>
        <w:tc>
          <w:tcPr>
            <w:tcW w:type="dxa" w:w="24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7"/>
                <w:szCs w:val="17"/>
              </w:rPr>
              <w:t xml:space="preserve">LSR — Stream 26: NCT/Collapse Theory</w:t>
            </w:r>
          </w:p>
        </w:tc>
        <w:tc>
          <w:tcPr>
            <w:tcW w:type="dxa" w:w="24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Literature stream. Upload Tainter, West, Forrester, Lotka-Volterra papers. Code Tab A/Tab B.</w:t>
            </w:r>
          </w:p>
        </w:tc>
        <w:tc>
          <w:tcPr>
            <w:tcW w:type="dxa" w:w="240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Justifies cross-domain constant application. Stream gap: no prior cross-domain validation.</w:t>
            </w:r>
          </w:p>
        </w:tc>
        <w:tc>
          <w:tcPr>
            <w:tcW w:type="dxa" w:w="2160"/>
            <w:tcBorders>
              <w:top w:val="single" w:color="AAAAAA" w:sz="1"/>
              <w:left w:val="single" w:color="AAAAAA" w:sz="1"/>
              <w:bottom w:val="single" w:color="AAAAAA" w:sz="1"/>
              <w:right w:val="single" w:color="AAAAAA" w:sz="1"/>
            </w:tcBorders>
            <w:shd w:fill="D9EAD3"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NOW — it's a literature gap claim like any other stream.</w:t>
            </w:r>
          </w:p>
        </w:tc>
      </w:tr>
      <w:tr>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7"/>
                <w:szCs w:val="17"/>
              </w:rPr>
              <w:t xml:space="preserve">LSR — Mathematical Foundations</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Your derivations. The T_failure equation step-by-step. Phi mapping algebra. NCT constant calculation from collapse dataset. Lotka-Volterra equilibrium proof.</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Exam defence document. If an examiner asks 'where does k=0.8654 come from?' you hand them this.</w:t>
            </w:r>
          </w:p>
        </w:tc>
        <w:tc>
          <w:tcPr>
            <w:tcW w:type="dxa" w:w="21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Before submission. Write it once when the model is finalised.</w:t>
            </w:r>
          </w:p>
        </w:tc>
      </w:tr>
      <w:tr>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bCs/>
                <w:i w:val="false"/>
                <w:iCs w:val="false"/>
                <w:color w:val="1F3864"/>
                <w:sz w:val="17"/>
                <w:szCs w:val="17"/>
              </w:rPr>
              <w:t xml:space="preserve">LSR — Methods Citations</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10–15 paper reference list. Firth, Oster, VanderWeele, Rosenbaum, Efron, Preacher-Hayes, plus your IV methodology reference.</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Methods section citations. Every statistical technique needs one citation.</w:t>
            </w:r>
          </w:p>
        </w:tc>
        <w:tc>
          <w:tcPr>
            <w:tcW w:type="dxa" w:w="21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before="40" w:after="40"/>
              <w:jc w:val="left"/>
            </w:pPr>
            <w:r>
              <w:rPr>
                <w:rFonts w:ascii="Arial" w:cs="Arial" w:eastAsia="Arial" w:hAnsi="Arial"/>
                <w:b w:val="false"/>
                <w:bCs w:val="false"/>
                <w:i w:val="false"/>
                <w:iCs w:val="false"/>
                <w:color w:val="000000"/>
                <w:sz w:val="17"/>
                <w:szCs w:val="17"/>
              </w:rPr>
              <w:t xml:space="preserve">SOON — as you write the methods section, compile this alongside.</w:t>
            </w:r>
          </w:p>
        </w:tc>
      </w:tr>
    </w:tbl>
    <w:p>
      <w:pPr>
        <w:spacing w:before="60" w:after="60"/>
      </w:pPr>
      <w:r>
        <w:rPr>
          <w:sz w:val="14"/>
          <w:szCs w:val="14"/>
        </w:rPr>
        <w:t xml:space="preserve"> </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235A" w:sz="1"/>
              <w:left w:val="single" w:color="4A235A" w:sz="1"/>
              <w:bottom w:val="single" w:color="4A235A" w:sz="1"/>
              <w:right w:val="single" w:color="4A235A" w:sz="1"/>
            </w:tcBorders>
            <w:shd w:fill="E8D5F0" w:val="clear"/>
            <w:tcMar>
              <w:top w:type="dxa" w:w="120"/>
              <w:left w:type="dxa" w:w="180"/>
              <w:bottom w:type="dxa" w:w="120"/>
              <w:right w:type="dxa" w:w="180"/>
            </w:tcMar>
          </w:tcPr>
          <w:p>
            <w:pPr>
              <w:spacing w:before="50" w:after="50"/>
            </w:pPr>
            <w:r>
              <w:rPr>
                <w:rFonts w:ascii="Arial" w:cs="Arial" w:eastAsia="Arial" w:hAnsi="Arial"/>
                <w:color w:val="4A235A"/>
                <w:sz w:val="18"/>
                <w:szCs w:val="18"/>
              </w:rPr>
              <w:t xml:space="preserve">THE DIRECT ANSWER TO YOUR QUESTION:</w:t>
            </w:r>
          </w:p>
          <w:p>
            <w:pPr>
              <w:spacing w:before="50" w:after="50"/>
            </w:pPr>
            <w:r>
              <w:rPr>
                <w:rFonts w:ascii="Arial" w:cs="Arial" w:eastAsia="Arial" w:hAnsi="Arial"/>
                <w:color w:val="4A235A"/>
                <w:sz w:val="18"/>
                <w:szCs w:val="18"/>
              </w:rPr>
              <w:t xml:space="preserve"/>
            </w:r>
          </w:p>
          <w:p>
            <w:pPr>
              <w:spacing w:before="50" w:after="50"/>
            </w:pPr>
            <w:r>
              <w:rPr>
                <w:rFonts w:ascii="Arial" w:cs="Arial" w:eastAsia="Arial" w:hAnsi="Arial"/>
                <w:color w:val="4A235A"/>
                <w:sz w:val="18"/>
                <w:szCs w:val="18"/>
              </w:rPr>
              <w:t xml:space="preserve">Do NOT create a generic 'mathematics and statistics' literature stream.</w:t>
            </w:r>
          </w:p>
          <w:p>
            <w:pPr>
              <w:spacing w:before="50" w:after="50"/>
            </w:pPr>
            <w:r>
              <w:rPr>
                <w:rFonts w:ascii="Arial" w:cs="Arial" w:eastAsia="Arial" w:hAnsi="Arial"/>
                <w:color w:val="4A235A"/>
                <w:sz w:val="18"/>
                <w:szCs w:val="18"/>
              </w:rPr>
              <w:t xml:space="preserve">The literature streams are for gap claims. Maths is not a gap — it is infrastructure.</w:t>
            </w:r>
          </w:p>
          <w:p>
            <w:pPr>
              <w:spacing w:before="50" w:after="50"/>
            </w:pPr>
            <w:r>
              <w:rPr>
                <w:rFonts w:ascii="Arial" w:cs="Arial" w:eastAsia="Arial" w:hAnsi="Arial"/>
                <w:color w:val="4A235A"/>
                <w:sz w:val="18"/>
                <w:szCs w:val="18"/>
              </w:rPr>
              <w:t xml:space="preserve"/>
            </w:r>
          </w:p>
          <w:p>
            <w:pPr>
              <w:spacing w:before="50" w:after="50"/>
            </w:pPr>
            <w:r>
              <w:rPr>
                <w:rFonts w:ascii="Arial" w:cs="Arial" w:eastAsia="Arial" w:hAnsi="Arial"/>
                <w:color w:val="4A235A"/>
                <w:sz w:val="18"/>
                <w:szCs w:val="18"/>
              </w:rPr>
              <w:t xml:space="preserve">WHAT YOU DO INSTEAD:</w:t>
            </w:r>
          </w:p>
          <w:p>
            <w:pPr>
              <w:spacing w:before="50" w:after="50"/>
            </w:pPr>
            <w:r>
              <w:rPr>
                <w:rFonts w:ascii="Arial" w:cs="Arial" w:eastAsia="Arial" w:hAnsi="Arial"/>
                <w:color w:val="4A235A"/>
                <w:sz w:val="18"/>
                <w:szCs w:val="18"/>
              </w:rPr>
              <w:t xml:space="preserve">1. Stream 26 (NCT/Collapse) → already specified above → code it like any other stream</w:t>
            </w:r>
          </w:p>
          <w:p>
            <w:pPr>
              <w:spacing w:before="50" w:after="50"/>
            </w:pPr>
            <w:r>
              <w:rPr>
                <w:rFonts w:ascii="Arial" w:cs="Arial" w:eastAsia="Arial" w:hAnsi="Arial"/>
                <w:color w:val="4A235A"/>
                <w:sz w:val="18"/>
                <w:szCs w:val="18"/>
              </w:rPr>
              <w:t xml:space="preserve">2. Mathematical Foundations project → one document, your derivations, written by you</w:t>
            </w:r>
          </w:p>
          <w:p>
            <w:pPr>
              <w:spacing w:before="50" w:after="50"/>
            </w:pPr>
            <w:r>
              <w:rPr>
                <w:rFonts w:ascii="Arial" w:cs="Arial" w:eastAsia="Arial" w:hAnsi="Arial"/>
                <w:color w:val="4A235A"/>
                <w:sz w:val="18"/>
                <w:szCs w:val="18"/>
              </w:rPr>
              <w:t xml:space="preserve">3. Methods Citations project → a reference list, not a literature review</w:t>
            </w:r>
          </w:p>
          <w:p>
            <w:pPr>
              <w:spacing w:before="50" w:after="50"/>
            </w:pPr>
            <w:r>
              <w:rPr>
                <w:rFonts w:ascii="Arial" w:cs="Arial" w:eastAsia="Arial" w:hAnsi="Arial"/>
                <w:color w:val="4A235A"/>
                <w:sz w:val="18"/>
                <w:szCs w:val="18"/>
              </w:rPr>
              <w:t xml:space="preserve"/>
            </w:r>
          </w:p>
          <w:p>
            <w:pPr>
              <w:spacing w:before="50" w:after="50"/>
            </w:pPr>
            <w:r>
              <w:rPr>
                <w:rFonts w:ascii="Arial" w:cs="Arial" w:eastAsia="Arial" w:hAnsi="Arial"/>
                <w:color w:val="4A235A"/>
                <w:sz w:val="18"/>
                <w:szCs w:val="18"/>
              </w:rPr>
              <w:t xml:space="preserve">The distinction matters for your examiners:</w:t>
            </w:r>
          </w:p>
          <w:p>
            <w:pPr>
              <w:spacing w:before="50" w:after="50"/>
            </w:pPr>
            <w:r>
              <w:rPr>
                <w:rFonts w:ascii="Arial" w:cs="Arial" w:eastAsia="Arial" w:hAnsi="Arial"/>
                <w:color w:val="4A235A"/>
                <w:sz w:val="18"/>
                <w:szCs w:val="18"/>
              </w:rPr>
              <w:t xml:space="preserve">  Literature review says: 'The literature has not done X — I do X.'</w:t>
            </w:r>
          </w:p>
          <w:p>
            <w:pPr>
              <w:spacing w:before="50" w:after="50"/>
            </w:pPr>
            <w:r>
              <w:rPr>
                <w:rFonts w:ascii="Arial" w:cs="Arial" w:eastAsia="Arial" w:hAnsi="Arial"/>
                <w:color w:val="4A235A"/>
                <w:sz w:val="18"/>
                <w:szCs w:val="18"/>
              </w:rPr>
              <w:t xml:space="preserve">  Maths appendix says: 'Here is how my model works mathematically.'</w:t>
            </w:r>
          </w:p>
          <w:p>
            <w:pPr>
              <w:spacing w:before="50" w:after="50"/>
            </w:pPr>
            <w:r>
              <w:rPr>
                <w:rFonts w:ascii="Arial" w:cs="Arial" w:eastAsia="Arial" w:hAnsi="Arial"/>
                <w:color w:val="4A235A"/>
                <w:sz w:val="18"/>
                <w:szCs w:val="18"/>
              </w:rPr>
              <w:t xml:space="preserve">  Methods section says: 'I used technique Y, following citation Z.'</w:t>
            </w:r>
          </w:p>
          <w:p>
            <w:pPr>
              <w:spacing w:before="50" w:after="50"/>
            </w:pPr>
            <w:r>
              <w:rPr>
                <w:rFonts w:ascii="Arial" w:cs="Arial" w:eastAsia="Arial" w:hAnsi="Arial"/>
                <w:color w:val="4A235A"/>
                <w:sz w:val="18"/>
                <w:szCs w:val="18"/>
              </w:rPr>
              <w:t xml:space="preserve"/>
            </w:r>
          </w:p>
          <w:p>
            <w:pPr>
              <w:spacing w:before="50" w:after="50"/>
            </w:pPr>
            <w:r>
              <w:rPr>
                <w:rFonts w:ascii="Arial" w:cs="Arial" w:eastAsia="Arial" w:hAnsi="Arial"/>
                <w:color w:val="4A235A"/>
                <w:sz w:val="18"/>
                <w:szCs w:val="18"/>
              </w:rPr>
              <w:t xml:space="preserve">These are three different things. Don't conflate them into one folder.</w:t>
            </w:r>
          </w:p>
        </w:tc>
      </w:tr>
    </w:tbl>
    <w:p>
      <w:pPr>
        <w:spacing w:before="60" w:after="60"/>
      </w:pPr>
      <w:r>
        <w:rPr>
          <w:sz w:val="14"/>
          <w:szCs w:val="14"/>
        </w:rPr>
        <w:t xml:space="preserve"> </w:t>
      </w:r>
    </w:p>
    <w:p>
      <w:pPr>
        <w:spacing w:before="60" w:after="60"/>
      </w:pPr>
      <w:r>
        <w:rPr>
          <w:sz w:val="14"/>
          <w:szCs w:val="14"/>
        </w:rPr>
        <w:t xml:space="preserve"> </w:t>
      </w:r>
    </w:p>
    <w:p>
      <w:pPr>
        <w:spacing w:before="240" w:after="80"/>
      </w:pPr>
      <w:r>
        <w:rPr>
          <w:rFonts w:ascii="Arial" w:cs="Arial" w:eastAsia="Arial" w:hAnsi="Arial"/>
          <w:b/>
          <w:bCs/>
          <w:color w:val="1F3864"/>
          <w:sz w:val="30"/>
          <w:szCs w:val="30"/>
        </w:rPr>
        <w:t xml:space="preserve">THE MINIMUM METHODS CITATIONS — COPY THIS LIST</w:t>
      </w:r>
    </w:p>
    <w:p>
      <w:pPr>
        <w:spacing w:before="60" w:after="60"/>
      </w:pPr>
      <w:r>
        <w:rPr>
          <w:sz w:val="14"/>
          <w:szCs w:val="1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366AA" w:sz="1"/>
              <w:left w:val="single" w:color="3366AA" w:sz="1"/>
              <w:bottom w:val="single" w:color="3366AA" w:sz="1"/>
              <w:right w:val="single" w:color="3366AA" w:sz="1"/>
            </w:tcBorders>
            <w:shd w:fill="F0F4F8" w:val="clear"/>
            <w:tcMar>
              <w:top w:type="dxa" w:w="100"/>
              <w:left w:type="dxa" w:w="200"/>
              <w:bottom w:type="dxa" w:w="100"/>
              <w:right w:type="dxa" w:w="200"/>
            </w:tcMar>
          </w:tcPr>
          <w:p>
            <w:pPr>
              <w:spacing w:before="40" w:after="40"/>
            </w:pPr>
            <w:r>
              <w:rPr>
                <w:rFonts w:ascii="Courier New" w:cs="Courier New" w:eastAsia="Courier New" w:hAnsi="Courier New"/>
                <w:color w:val="003366"/>
                <w:sz w:val="16"/>
                <w:szCs w:val="16"/>
              </w:rPr>
              <w:t xml:space="preserve">STATISTICAL METHODS — REQUIRED CITATIONS (add to methods section):</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1. LOGISTIC REGRESSION (primary model):</w:t>
            </w:r>
          </w:p>
          <w:p>
            <w:pPr>
              <w:spacing w:before="40" w:after="40"/>
            </w:pPr>
            <w:r>
              <w:rPr>
                <w:rFonts w:ascii="Courier New" w:cs="Courier New" w:eastAsia="Courier New" w:hAnsi="Courier New"/>
                <w:color w:val="003366"/>
                <w:sz w:val="16"/>
                <w:szCs w:val="16"/>
              </w:rPr>
              <w:t xml:space="preserve">   Hosmer DW, Lemeshow S, Sturdivant RX (2013) Applied Logistic Regression, 3rd ed. Wiley.</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2. FIRTH PENALISED LOGISTIC (separation robustness check):</w:t>
            </w:r>
          </w:p>
          <w:p>
            <w:pPr>
              <w:spacing w:before="40" w:after="40"/>
            </w:pPr>
            <w:r>
              <w:rPr>
                <w:rFonts w:ascii="Courier New" w:cs="Courier New" w:eastAsia="Courier New" w:hAnsi="Courier New"/>
                <w:color w:val="003366"/>
                <w:sz w:val="16"/>
                <w:szCs w:val="16"/>
              </w:rPr>
              <w:t xml:space="preserve">   Firth D (1993) Bias reduction of maximum likelihood estimates. Biometrika 80(1):27–38.</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3. OSTER SELECTION BOUNDS (δ=1.7):</w:t>
            </w:r>
          </w:p>
          <w:p>
            <w:pPr>
              <w:spacing w:before="40" w:after="40"/>
            </w:pPr>
            <w:r>
              <w:rPr>
                <w:rFonts w:ascii="Courier New" w:cs="Courier New" w:eastAsia="Courier New" w:hAnsi="Courier New"/>
                <w:color w:val="003366"/>
                <w:sz w:val="16"/>
                <w:szCs w:val="16"/>
              </w:rPr>
              <w:t xml:space="preserve">   Oster E (2019) Unobservable selection and coefficient stability. J Business &amp; Econ Stat 37(2):187–204.</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4. E-VALUES (E=54.1):</w:t>
            </w:r>
          </w:p>
          <w:p>
            <w:pPr>
              <w:spacing w:before="40" w:after="40"/>
            </w:pPr>
            <w:r>
              <w:rPr>
                <w:rFonts w:ascii="Courier New" w:cs="Courier New" w:eastAsia="Courier New" w:hAnsi="Courier New"/>
                <w:color w:val="003366"/>
                <w:sz w:val="16"/>
                <w:szCs w:val="16"/>
              </w:rPr>
              <w:t xml:space="preserve">   VanderWeele TJ, Ding P (2017) Sensitivity analysis in observational research. Ann Intern Med 167(4):268–274.</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5. ROSENBAUM BOUNDS (Γ=4.2):</w:t>
            </w:r>
          </w:p>
          <w:p>
            <w:pPr>
              <w:spacing w:before="40" w:after="40"/>
            </w:pPr>
            <w:r>
              <w:rPr>
                <w:rFonts w:ascii="Courier New" w:cs="Courier New" w:eastAsia="Courier New" w:hAnsi="Courier New"/>
                <w:color w:val="003366"/>
                <w:sz w:val="16"/>
                <w:szCs w:val="16"/>
              </w:rPr>
              <w:t xml:space="preserve">   Rosenbaum PR (2002) Observational Studies, 2nd ed. Springer.</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6. BOOTSTRAP MEDIATION CI (73.2% path b):</w:t>
            </w:r>
          </w:p>
          <w:p>
            <w:pPr>
              <w:spacing w:before="40" w:after="40"/>
            </w:pPr>
            <w:r>
              <w:rPr>
                <w:rFonts w:ascii="Courier New" w:cs="Courier New" w:eastAsia="Courier New" w:hAnsi="Courier New"/>
                <w:color w:val="003366"/>
                <w:sz w:val="16"/>
                <w:szCs w:val="16"/>
              </w:rPr>
              <w:t xml:space="preserve">   Preacher KJ, Hayes AF (2008) Asymptotic and resampling strategies for assessing</w:t>
            </w:r>
          </w:p>
          <w:p>
            <w:pPr>
              <w:spacing w:before="40" w:after="40"/>
            </w:pPr>
            <w:r>
              <w:rPr>
                <w:rFonts w:ascii="Courier New" w:cs="Courier New" w:eastAsia="Courier New" w:hAnsi="Courier New"/>
                <w:color w:val="003366"/>
                <w:sz w:val="16"/>
                <w:szCs w:val="16"/>
              </w:rPr>
              <w:t xml:space="preserve">   indirect effects in multiple mediator models. Behavior Research Methods 40(3):879–891.</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7. INSTRUMENTAL VARIABLES:</w:t>
            </w:r>
          </w:p>
          <w:p>
            <w:pPr>
              <w:spacing w:before="40" w:after="40"/>
            </w:pPr>
            <w:r>
              <w:rPr>
                <w:rFonts w:ascii="Courier New" w:cs="Courier New" w:eastAsia="Courier New" w:hAnsi="Courier New"/>
                <w:color w:val="003366"/>
                <w:sz w:val="16"/>
                <w:szCs w:val="16"/>
              </w:rPr>
              <w:t xml:space="preserve">   Angrist JD, Pischke JS (2009) Mostly Harmless Econometrics. Princeton University Press.</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8. FIXED EFFECTS (if used):</w:t>
            </w:r>
          </w:p>
          <w:p>
            <w:pPr>
              <w:spacing w:before="40" w:after="40"/>
            </w:pPr>
            <w:r>
              <w:rPr>
                <w:rFonts w:ascii="Courier New" w:cs="Courier New" w:eastAsia="Courier New" w:hAnsi="Courier New"/>
                <w:color w:val="003366"/>
                <w:sz w:val="16"/>
                <w:szCs w:val="16"/>
              </w:rPr>
              <w:t xml:space="preserve">   Wooldridge JM (2010) Econometric Analysis of Cross Section and Panel Data, 2nd ed. MIT Press.</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9. HETEROSKEDASTICITY-ROBUST SE (HC3):</w:t>
            </w:r>
          </w:p>
          <w:p>
            <w:pPr>
              <w:spacing w:before="40" w:after="40"/>
            </w:pPr>
            <w:r>
              <w:rPr>
                <w:rFonts w:ascii="Courier New" w:cs="Courier New" w:eastAsia="Courier New" w:hAnsi="Courier New"/>
                <w:color w:val="003366"/>
                <w:sz w:val="16"/>
                <w:szCs w:val="16"/>
              </w:rPr>
              <w:t xml:space="preserve">   MacKinnon JG, White H (1985) Some heteroskedasticity-consistent covariance matrix estimators.</w:t>
            </w:r>
          </w:p>
          <w:p>
            <w:pPr>
              <w:spacing w:before="40" w:after="40"/>
            </w:pPr>
            <w:r>
              <w:rPr>
                <w:rFonts w:ascii="Courier New" w:cs="Courier New" w:eastAsia="Courier New" w:hAnsi="Courier New"/>
                <w:color w:val="003366"/>
                <w:sz w:val="16"/>
                <w:szCs w:val="16"/>
              </w:rPr>
              <w:t xml:space="preserve">   Journal of Econometrics 29(3):305–325.</w:t>
            </w:r>
          </w:p>
          <w:p>
            <w:pPr>
              <w:spacing w:before="40" w:after="40"/>
            </w:pPr>
            <w:r>
              <w:rPr>
                <w:rFonts w:ascii="Courier New" w:cs="Courier New" w:eastAsia="Courier New" w:hAnsi="Courier New"/>
                <w:color w:val="003366"/>
                <w:sz w:val="16"/>
                <w:szCs w:val="16"/>
              </w:rPr>
              <w:t xml:space="preserve"/>
            </w:r>
          </w:p>
          <w:p>
            <w:pPr>
              <w:spacing w:before="40" w:after="40"/>
            </w:pPr>
            <w:r>
              <w:rPr>
                <w:rFonts w:ascii="Courier New" w:cs="Courier New" w:eastAsia="Courier New" w:hAnsi="Courier New"/>
                <w:color w:val="003366"/>
                <w:sz w:val="16"/>
                <w:szCs w:val="16"/>
              </w:rPr>
              <w:t xml:space="preserve">10. CAUSAL INFERENCE FRAMEWORK:</w:t>
            </w:r>
          </w:p>
          <w:p>
            <w:pPr>
              <w:spacing w:before="40" w:after="40"/>
            </w:pPr>
            <w:r>
              <w:rPr>
                <w:rFonts w:ascii="Courier New" w:cs="Courier New" w:eastAsia="Courier New" w:hAnsi="Courier New"/>
                <w:color w:val="003366"/>
                <w:sz w:val="16"/>
                <w:szCs w:val="16"/>
              </w:rPr>
              <w:t xml:space="preserve">    Pearl J (2009) Causality: Models, Reasoning and Inference, 2nd ed. Cambridge University Press.</w:t>
            </w:r>
          </w:p>
        </w:tc>
      </w:tr>
    </w:tbl>
    <w:sectPr>
      <w:headerReference w:type="default" r:id="rId6"/>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before="0" w:after="60"/>
    </w:pPr>
    <w:r>
      <w:rPr>
        <w:rFonts w:ascii="Arial" w:cs="Arial" w:eastAsia="Arial" w:hAnsi="Arial"/>
        <w:b/>
        <w:bCs/>
        <w:color w:val="1F3864"/>
        <w:sz w:val="16"/>
        <w:szCs w:val="16"/>
      </w:rPr>
      <w:t xml:space="preserve">LSR STREAM EXTENSION 22–26  |  Brandon (2026)  |  QUT / Griffith  |  SSRN: 7801909</w:t>
    </w:r>
    <w:r>
      <w:rPr>
        <w:rFonts w:ascii="Arial" w:cs="Arial" w:eastAsia="Arial" w:hAnsi="Arial"/>
        <w:i/>
        <w:iCs/>
        <w:color w:val="595959"/>
        <w:sz w:val="15"/>
        <w:szCs w:val="15"/>
      </w:rPr>
      <w:t xml:space="preserve">          Infrastructure Cost Overrun Prediction (OCDI) + Mathematical Foundations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2026-02-21T23:03:33.697Z</dcterms:created>
  <dcterms:modified xsi:type="dcterms:W3CDTF">2026-02-21T23:03:33.698Z</dcterms:modified>
</cp:coreProperties>
</file>

<file path=docProps/custom.xml><?xml version="1.0" encoding="utf-8"?>
<Properties xmlns="http://schemas.openxmlformats.org/officeDocument/2006/custom-properties" xmlns:vt="http://schemas.openxmlformats.org/officeDocument/2006/docPropsVTypes"/>
</file>