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r>
        <w:t xml:space="preserve"/>
      </w:r>
    </w:p>
    <w:p>
      <w:pPr>
        <w:jc w:val="center"/>
      </w:pPr>
      <w:r>
        <w:rPr>
          <w:rFonts w:ascii="Arial" w:cs="Arial" w:eastAsia="Arial" w:hAnsi="Arial"/>
          <w:b/>
          <w:bCs/>
          <w:color w:val="1F3864"/>
          <w:sz w:val="40"/>
          <w:szCs w:val="40"/>
        </w:rPr>
        <w:t xml:space="preserve">SYSTEMATIC LITERATURE SYNTHESIS</w:t>
      </w:r>
    </w:p>
    <w:p>
      <w:pPr>
        <w:jc w:val="center"/>
      </w:pPr>
      <w:r>
        <w:rPr>
          <w:rFonts w:ascii="Arial" w:cs="Arial" w:eastAsia="Arial" w:hAnsi="Arial"/>
          <w:color w:val="2E75B6"/>
          <w:sz w:val="30"/>
          <w:szCs w:val="30"/>
        </w:rPr>
        <w:t xml:space="preserve">Development Project Design Architecture &amp; Outcome Delivery</w:t>
      </w:r>
    </w:p>
    <w:p>
      <w:pPr>
        <w:spacing w:before="60" w:after="60"/>
      </w:pPr>
      <w:r>
        <w:t xml:space="preserve"/>
      </w:r>
    </w:p>
    <w:p>
      <w:pPr>
        <w:jc w:val="center"/>
      </w:pPr>
      <w:r>
        <w:rPr>
          <w:rFonts w:ascii="Arial" w:cs="Arial" w:eastAsia="Arial" w:hAnsi="Arial"/>
          <w:i/>
          <w:iCs/>
          <w:color w:val="555555"/>
          <w:sz w:val="26"/>
          <w:szCs w:val="26"/>
        </w:rPr>
        <w:t xml:space="preserve">Four-Objective Analysis Across 26 Evidence Streams</w:t>
      </w:r>
    </w:p>
    <w:p>
      <w:pPr>
        <w:spacing w:before="60" w:after="60"/>
      </w:pPr>
      <w:r>
        <w:t xml:space="preserve"/>
      </w:r>
    </w:p>
    <w:p>
      <w:pPr>
        <w:spacing w:before="60" w:after="60"/>
      </w:pPr>
      <w:r>
        <w:t xml:space="preserve"/>
      </w:r>
    </w:p>
    <w:p>
      <w:pPr>
        <w:jc w:val="center"/>
      </w:pPr>
      <w:r>
        <w:rPr>
          <w:rFonts w:ascii="Arial" w:cs="Arial" w:eastAsia="Arial" w:hAnsi="Arial"/>
          <w:sz w:val="22"/>
          <w:szCs w:val="22"/>
        </w:rPr>
        <w:t xml:space="preserve">Steve Brandon | QUT / Griffith University | February 2026</w:t>
      </w:r>
    </w:p>
    <w:p>
      <w:pPr>
        <w:jc w:val="center"/>
      </w:pPr>
      <w:r>
        <w:rPr>
          <w:rFonts w:ascii="Arial" w:cs="Arial" w:eastAsia="Arial" w:hAnsi="Arial"/>
          <w:i/>
          <w:iCs/>
          <w:sz w:val="22"/>
          <w:szCs w:val="22"/>
        </w:rPr>
        <w:t xml:space="preserve">SSRN: 7801909</w:t>
      </w:r>
    </w:p>
    <w:p>
      <w:pPr>
        <w:spacing w:before="60" w:after="60"/>
      </w:pPr>
      <w:r>
        <w:t xml:space="preserve"/>
      </w:r>
    </w:p>
    <w:p>
      <w:r>
        <w:br w:type="pag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PREAMBLE: SCOPE AND METHODOLOGY</w:t>
      </w:r>
    </w:p>
    <w:p>
      <w:pPr>
        <w:spacing w:before="60" w:after="60"/>
        <w:jc w:val="both"/>
      </w:pPr>
      <w:r>
        <w:rPr>
          <w:rFonts w:ascii="Arial" w:cs="Arial" w:eastAsia="Arial" w:hAnsi="Arial"/>
          <w:sz w:val="22"/>
          <w:szCs w:val="22"/>
        </w:rPr>
        <w:t xml:space="preserve">This synthesis covers 26 literature streams (Streams 01–26) assembled to reverse-engineer the bibliographic foundation for the finding that OR=27.8 for project design quality (QE) predicting World Bank project outcomes across n=12,328 projects. The streams span core theoretical literature, evaluation methodology, context-specific evidence, methodological literature, and OCDI extension streams (22–26).</w:t>
      </w:r>
    </w:p>
    <w:p>
      <w:pPr>
        <w:spacing w:before="60" w:after="60"/>
        <w:jc w:val="both"/>
      </w:pPr>
      <w:r>
        <w:rPr>
          <w:rFonts w:ascii="Arial" w:cs="Arial" w:eastAsia="Arial" w:hAnsi="Arial"/>
          <w:sz w:val="22"/>
          <w:szCs w:val="22"/>
        </w:rPr>
        <w:t xml:space="preserve">Inclusion criteria applied uniformly: quantitative outcome + regression/causal claim + development projects + peer-reviewed or credible working paper. Papers failing any criterion were excluded. Evidence strength is classified as: Experimental (RCT), Quasi-experimental (IV, RDD, DID), Observational (regression without causal ID), or Theoretical/Descriptive.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20"/>
              <w:left w:type="dxa" w:w="180"/>
              <w:bottom w:type="dxa" w:w="120"/>
              <w:right w:type="dxa" w:w="180"/>
            </w:tcMar>
          </w:tcPr>
          <w:p>
            <w:pPr>
              <w:spacing w:before="40" w:after="40"/>
            </w:pPr>
            <w:r>
              <w:rPr>
                <w:rFonts w:ascii="Arial" w:cs="Arial" w:eastAsia="Arial" w:hAnsi="Arial"/>
                <w:b/>
                <w:bCs/>
                <w:color w:val="1F3864"/>
                <w:sz w:val="22"/>
                <w:szCs w:val="22"/>
              </w:rPr>
              <w:t xml:space="preserve">CRITICAL INSTRUCTION REMINDER</w:t>
            </w:r>
          </w:p>
          <w:p>
            <w:pPr>
              <w:spacing w:before="40" w:after="40"/>
            </w:pPr>
            <w:r>
              <w:rPr>
                <w:rFonts w:ascii="Arial" w:cs="Arial" w:eastAsia="Arial" w:hAnsi="Arial"/>
                <w:sz w:val="22"/>
                <w:szCs w:val="22"/>
              </w:rPr>
              <w:t xml:space="preserve">Per the synthesis brief: inferences are flagged explicitly throughout. The boundary between confirmed partial evidence (what the streams contain) and original contribution (what the Brandon 2026 analysis adds) is marked at every point. Do not read synthesis statements as established findings unless they are labelled 'Confirmed Partial Evidence.'</w:t>
            </w:r>
          </w:p>
        </w:tc>
      </w:tr>
    </w:tbl>
    <w:p>
      <w:pPr>
        <w:spacing w:before="60" w:after="60"/>
      </w:pPr>
      <w:r>
        <w:t xml:space="preserve"/>
      </w:r>
    </w:p>
    <w:p>
      <w:r>
        <w:br w:type="pag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OBJECTIVE 1 — MAP THE PARTIAL ANSWERS</w:t>
      </w:r>
    </w:p>
    <w:p>
      <w:pPr>
        <w:spacing w:before="60" w:after="60"/>
        <w:jc w:val="both"/>
      </w:pPr>
      <w:r>
        <w:rPr>
          <w:rFonts w:ascii="Arial" w:cs="Arial" w:eastAsia="Arial" w:hAnsi="Arial"/>
          <w:sz w:val="22"/>
          <w:szCs w:val="22"/>
        </w:rPr>
        <w:t xml:space="preserve">For each of the 26 streams, confirmed partial evidence is identified, the methodology is noted, and evidence strength is classified. The table below summarises all streams; detailed narrative follows for each.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1800"/>
        <w:gridCol w:w="1560"/>
      </w:tblGrid>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w:t>
            </w:r>
          </w:p>
        </w:tc>
        <w:tc>
          <w:tcPr>
            <w:tcW w:type="dxa" w:w="1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Stream</w:t>
            </w:r>
          </w:p>
        </w:tc>
        <w:tc>
          <w:tcPr>
            <w:tcW w:type="dxa" w:w="3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Confirmed Partial Evidence (Summary)</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Methodology</w:t>
            </w:r>
          </w:p>
        </w:tc>
        <w:tc>
          <w:tcPr>
            <w:tcW w:type="dxa" w:w="15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Evidence Strength</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01</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MDB Econometrics</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Denizer, Kaufmann &amp; Kraay (2013) establish that project-level factors — specifically preparation quality and supervision — predict WB project outcomes using OLS regression on n=6,253 projects. Wane (2004) demonstrates th…</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OLS, probit, ordered probit, IV (quasi-experimental); observational cross-sectio</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Moderate–High (quasi-experimental with I</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Development Project Management (PM)</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Ika, Diallo &amp; Thuillier (2012) establish via TTL survey that design quality is the most-cited critical success factor. Wood et al. (2022) demonstrate via OLS mediation (n=8,062) that preparation and supervision significa…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Survey (Ika); OLS with mediation (Wood); theoretical synthesis (Gunatilake); obs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(survey bias in Ika; observatio</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03</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Principal-Agent Theory</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Chauvet, Collier &amp; Fuster (2017) establish via cross-country probit (n&gt;1,800) that principal-agent misalignment between donor and recipient predicts project failure. Preparation (β=0.387***) and supervision (β=0.477***) …</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Binary and ordered probit; observational cross-sectional</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Moderate–High (peer-reviewed, large-n pr</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Institutional Quality</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Acemoglu, Johnson &amp; Robinson (2001) establish that country-level institutional quality predicts aggregate income using colonial settler mortality as IV. Dollar &amp; Levin (2005) extend this to show institutional quality pre…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IV regression (AJR: experimental-quality); OLS (Dollar &amp; Levin); observational</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High for country-level mechanism (IV); l</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05</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RCT Evidence</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Bouguen et al. (2019) synthesise 50+ development RCTs and establish large heterogeneity in long-run outcomes (human-capital interventions: 40–100%+ gains; liquidity interventions: fade). This confirms outcome variance ex…</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Systematic review of RCTs; experimental</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High (gold standard for individual inter</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IEG Self-Evaluation</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IEG Results &amp; Performance annual reports (2013–2023) document descriptively that QE correlates with outcome across 30 years of the WB portfolio. The correlation is reported but not causally identified.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Descriptive statistics; institutional reporting (observational)</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Low (no causal identification, no regres</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07</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WB IEG Evaluation Methodology</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Kilby &amp; Michaelowa (2016) demonstrate geopolitical bias in IEG PPAR selection, establishing that evaluation is non-random. Geli, Kraay &amp; Nobakht (2014) show that CPIA and TTL track record predict outcomes in probit on n=…</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Probit; survival/hazard model (Kilby &amp; Michaelowa); observational</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(probit without IV; selection b</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08</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Climate Finance</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The climate finance literature (Buchner et al. 2019; Ulibarri et al. 2022) identifies quality gaps in project design and calls for better ex-ante assessment, but provides no project-level regression linking design qualit…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Descriptive/institutional; no regression meeting inclusion criteria</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Low (no causal identification at project</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09</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IEG Bias Quantification</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Within-study bias tests (Brandon 2026 data): ICRR OR=36.3 vs PPAR OR=26.0 confirms halo bias exists but does not explain the effect. PCR vs IED divergence: project teams over-rate their own projects by 14 percentage poin…</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Comparative bias testing; observational within-dataset</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(data-driven but not published </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ADB IED Methodology</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Geli, Kraay &amp; Nobakht (2014) demonstrate that the same project-level predictors (CPIA, TTL track record) operate across both WB and ADB in the same regression framework, confirming cross-institutional validity. Bulman, 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OLS cross-institutional regression; observational</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(no causal ID; peer-reviewed jo</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11</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AidData TUFF Methodology</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AidData's TUFF coding produces objective design proxies (Intent, Flow Class, Collateralisation, Implementing Agency) from administrative records predating outcome observation, eliminating hindsight bias. Bias test B4: De…</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Observational; administrative record coding; no-evaluator proxy</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(directionally consistent; low </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Evaluation Bias Literature</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The organisational evaluation literature establishes halo bias, hindsight bias, and self-serving bias as systematic features of institutional performance ratings. The PPAR vs ICRR comparison (OR=36.3 vs 26.0, gap=10.3 OR…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Comparative institutional analysis; observational</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Moderate–High for bias existence; modera</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13</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Cross-Institutional Comparison (WB vs ADB)</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Bulman, Kolkma &amp; Kraay (2017) find no significant institutional differences in slope coefficients for project-level predictors across WB and ADB. This cross-MDB generalisability finding directly supports the claim that Q…</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OLS cross-institutional regression; observational</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(no QE composite; no OR reporte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Causal Identification in Development</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Kilby (2015) uses TTL rotation mid-preparation as an IV for preparation quality, yielding IV estimates larger than OLS (measurement error attenuation). This is the most credible causal identification of design quality ef…</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IV regression (quasi-experimental)</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Moderate–High (published JDE; IV design;</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15</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Specification Robustness (SCA)</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Simonsohn, Simmons &amp; Nelson (2020) establish specification curve analysis (SCA) as the methodological standard for demonstrating result robustness across analytical choices. Masur (2023) provides a Type E/N/U taxonomy fo…</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Methodological/theoretical; simulation studies</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High for method validation; not yet appl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Heterogeneous Treatment Effects (HTE)</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Athey &amp; Imbens (2016) demonstrate that causal forest / honest recursive partitioning achieves valid 90% CI coverage for heterogeneous treatment effects. Wager &amp; Athey (2018) extend this to random forests with asymptotic …</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Simulation + observational field experiments; methodological</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High for method; not yet applied to deve</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17</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Fragile and Conflict-Affected States (FCS)</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Ralston (2014) demonstrates via OLS/probit (n=1,292 IDA projects) that FCS classification is associated with 0.24*** lower ratings on a 6-point scale. IFAD IOE evaluation (105+ projects) documents design quality as a spe…</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OLS, probit, multinomial logit (Ralston); descriptive comparative (IFAD); observ</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(Ralston peer-reviewed WP; IFAD</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18</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SIDS Development Finance</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Seeboo &amp; Proag (2019) identify PM leadership and design quality as project performance determinants in SIDS but do not estimate these empirically. ADMIRE terminal evaluation (2016, Marshall Islands) provides qualitative …</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Conceptual model (Seeboo); case study (ADMIRE); no regression meeting inclusion </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Low (0 papers included in stream; all 19</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19</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Chinese Development Finance</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Dreher &amp; Fuchs (2012) demonstrate using fractional logit (n=528 projects, 132 countries) that political motives (UNGA alignment, Taiwan recognition) determine Chinese aid allocation. This establishes project-level data e…</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Fractional logit; observational cross-sectional</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(published peer-reviewed; large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20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Debt Sustainability / Collateralisation</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Coulibaly et al. (2022) establish that resource-backed loans increase public debt. Coulibaly (2024) demonstrates ~70% higher sovereign default probability (3.7% vs 2.2%). Coulibaly et al. (2025) show ~2-notch credit rati…</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Regression with entropy balancing (quasi-experimental); observational panel</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Moderate–High (entropy balancing for sel</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21</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Climate Adaptation Finance (CAF)</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Ulibarri et al. (2022) demonstrate via regression on 1,549 adaptation responses that design-level choices (policy tool type, regulatory vs capacity-building) predict transformational adaptation outcomes with OR up to 2.6…</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Regression on systematic review sample; observational</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(n=1,549 responses; peer-review</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22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Infrastructure Cost Overrun (OCDI Core)</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Flyvbjerg establishes that 86% of megaprojects experience cost overruns averaging 45% (roads) to 65% (rail). This is the most robust empirical regularity in the stream. The pattern is documented across thousands of proje…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Observational large-n descriptive; meta-analysis; quasi-experimental in some sub</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High for pattern existence; low for ex-a</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23</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Reference Class Forecasting &amp; Optimism Bias</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Flyvbjerg (2006, 2008) establishes optimism bias as the dominant mechanism explaining systematic cost underestimation. Reference Class Forecasting (RCF) is validated as a correction tool in UK Treasury Guidelines. Kahnem…</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Observational/quasi-experimental; meta-analysis</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High for mechanism; moderate for predict</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24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Procurement Architecture</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Sicotte et al. (2013) demonstrate that lowest-price design-bid-build rules inflate delivery costs by ~8% on average through strategic renegotiation (observational, n=large highway sample). Giuffrida &amp; Rovigatti (2018) us…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RDD (Giuffrida: quasi-experimental); observational (Sicotte); OLS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Moderate–High (RDD is quasi-experimental</w:t>
            </w:r>
          </w:p>
        </w:tc>
      </w:tr>
      <w:tr>
        <w:tc>
          <w:tcPr>
            <w:tcW w:type="dxa" w:w="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25</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Political Economy of Infrastructure Approval</w:t>
            </w:r>
          </w:p>
        </w:tc>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Flyvbjerg (2009) establishes the 'survival of the unfittest' pattern: projects with optimistic cost estimates are selected over realistic ones in political approval processes. Electoral cycle effects on cost estimate acc…</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Observational descriptive; theoretical</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Low–Moderate (observational; no formal r</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26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NCT / Systems Dynamics / Collapse Theory</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Tainter (1988) establishes diminishing marginal returns to complexity as a universal mechanism of societal collapse. West (2017) validates scaling laws for complex systems. Bueno's stock-flow models demonstrate overshoot…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Theoretical/conceptual (Tainter); mathematical modelling (West, Bueno); no empir</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High for theoretical framework; zero emp</w:t>
            </w:r>
          </w:p>
        </w:tc>
      </w:tr>
    </w:tbl>
    <w:p>
      <w:pPr>
        <w:spacing w:before="60" w:after="60"/>
      </w:pPr>
      <w:r>
        <w:t xml:space="preserve"/>
      </w:r>
    </w:p>
    <w:p>
      <w:pPr>
        <w:spacing w:before="60" w:after="60"/>
        <w:jc w:val="both"/>
      </w:pPr>
      <w:r>
        <w:rPr>
          <w:rFonts w:ascii="Arial" w:cs="Arial" w:eastAsia="Arial" w:hAnsi="Arial"/>
          <w:sz w:val="22"/>
          <w:szCs w:val="22"/>
        </w:rPr>
        <w:t xml:space="preserve">DETAILED STREAM NARRATIVES FOLLOW. Each entry presents: (a) confirmed partial evidence, (b) methodology and strength, (c) specific gap left, and (d) bias flags where applicable.</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01: MDB Econometrics [Core Theoretical]</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Denizer, Kaufmann &amp; Kraay (2013) establish that project-level factors — specifically preparation quality and supervision — predict WB project outcomes using OLS regression on n=6,253 projects. Wane (2004) demonstrates that Quality-at-Entry (QAE) correlates significantly with outcomes in probit models. Chauvet, Collier &amp; Fuster (2017) confirm incentive misalignment between donor and recipient as a predictor of failure. Kilby (2015) uses IV estimation (preparation duration) to show preparation quality causally improves outcomes.</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OLS, probit, ordered probit, IV (quasi-experimental); observational cross-sectional — Strength: Moderate–High (quasi-experimental with IV for Kilby; observational for DKK)</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has used the actual IEG Quality-at-Entry (QE) composite score as the primary causal predictor of outcomes across the full portfolio (n&gt;10,000) or reported an odds ratio. No cross-institution replication.</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Self-assessment bias (same IEG evaluator rates preparation and outcome); hindsight bias (QE rated post-completion). Survivorship bias (non-rated projects excluded). Literature suggests IV correction (Kilby approach) and PPAR field-visit subsample as lower-bound tests.</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02: Development Project Management (PM) [Core Theoretical]</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Ika, Diallo &amp; Thuillier (2012) establish via TTL survey that design quality is the most-cited critical success factor. Wood et al. (2022) demonstrate via OLS mediation (n=8,062) that preparation and supervision significantly predict outcomes. Gunatilake et al. synthesise Wane, Kilby, and Deininger establishing the theoretical chain. Chauvet et al. (2017) establish incentive misalignment as mechanism.</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Survey (Ika); OLS with mediation (Wood); theoretical synthesis (Gunatilake); observational — Strength: Moderate (survey bias in Ika; observational mediation in Wood)</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has operationalised a composite design-quality score (QE) as the primary explanatory variable in a logistic regression at portfolio scale (n&gt;10,000). Ika relies on TTL perception, not independent evaluation.</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Principal-agent bias: TTL self-reports own design quality (Ika). Literature correction: independent evaluator-rated outcome variable (IEG independence design).</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03: Principal-Agent Theory [Core Theoretical]</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Chauvet, Collier &amp; Fuster (2017) establish via cross-country probit (n&gt;1,800) that principal-agent misalignment between donor and recipient predicts project failure. Preparation (β=0.387***) and supervision (β=0.477***) emerge as significant predictors. This is the most direct partial evidence in the corpus that design-phase quality predicts outcomes.</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Binary and ordered probit; observational cross-sectional — Strength: Moderate–High (peer-reviewed, large-n probit)</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Supervision is measured post-design; the paper cannot separate design-entry quality from implementation quality. No QE composite. No odds ratio. No cross-institution test.</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Common rater bias: same IEG reviewer assessed both preparation and supervision quality in some specifications. Literature correction: structurally separated evaluators (ADB IED uses independent design and outcome raters).</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04: Institutional Quality [Core Theoretical]</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Acemoglu, Johnson &amp; Robinson (2001) establish that country-level institutional quality predicts aggregate income using colonial settler mortality as IV. Dollar &amp; Levin (2005) extend this to show institutional quality predicts project success at country level. Isham &amp; Kaufmann (1999) demonstrate policy distortions reduce project ERRs.</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IV regression (AJR: experimental-quality); OLS (Dollar &amp; Levin); observational — Strength: High for country-level mechanism (IV); low for project-level translation</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80% of WB outcome variance is within-country, not between-country. The institutional stream explains country-level averages but cannot predict which projects succeed within a given institutional environment.</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No direct evaluator bias at this level. Inference flag: translation from country-level IV to project-level design-quality claim is an inference, not a confirmed finding in this stream.</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05: RCT Evidence [Core Theoretical]</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Bouguen et al. (2019) synthesise 50+ development RCTs and establish large heterogeneity in long-run outcomes (human-capital interventions: 40–100%+ gains; liquidity interventions: fade). This confirms outcome variance exists and calls for upstream explanation.</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Systematic review of RCTs; experimental — Strength: High (gold standard for individual intervention effects) but structurally silent on design predictors</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RCTs are assigned after design; no RCT study can test whether project design quality at appraisal predicts success. The stream is constitutively unable to answer the research question.</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None for this specific gap — the gap is structural, not methodological.</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06: IEG Self-Evaluation [Evaluation Methodology]</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IEG Results &amp; Performance annual reports (2013–2023) document descriptively that QE correlates with outcome across 30 years of the WB portfolio. The correlation is reported but not causally identified.</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Descriptive statistics; institutional reporting (observational) — Strength: Low (no causal identification, no regression, no controls)</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IEG has never causally identified the QE→outcome relationship, reported an odds ratio, or tested the relationship with controls for country characteristics.</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Self-assessment bias: IEG rates both QE and Outcome in the same evaluation exercise. Halo bias confirmed: ICRR OR=36.3 vs PPAR (independent field visit) OR=26.0. Literature correction: use PPAR subsample as bias-corrected lower bound.</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07: WB IEG Evaluation Methodology [Evaluation Methodology]</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Kilby &amp; Michaelowa (2016) demonstrate geopolitical bias in IEG PPAR selection, establishing that evaluation is non-random. Geli, Kraay &amp; Nobakht (2014) show that CPIA and TTL track record predict outcomes in probit on n=2,729 WB projects. The study is the closest existing prediction model to the QE framework.</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Probit; survival/hazard model (Kilby &amp; Michaelowa); observational — Strength: Moderate (probit without IV; selection bias acknowledged)</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Geli et al. do not include QE as a predictor; rely on CPIA and TTL track record. No odds ratio. No ADB replication. Kilby &amp; Michaelowa address selection bias in PPAR but not in QE-outcome estimation.</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Survivorship bias: not all projects receive PPAR evaluation; evaluated sample may be non-random. Literature correction: Heckman selection correction or bounding analysis.</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08: Climate Finance [Sector-Specific]</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The climate finance literature (Buchner et al. 2019; Ulibarri et al. 2022) identifies quality gaps in project design and calls for better ex-ante assessment, but provides no project-level regression linking design quality to outcomes.</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Descriptive/institutional; no regression meeting inclusion criteria — Strength: Low (no causal identification at project level)</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uses a summary design quality score at entry to predict ex-post outcome ratings across a large cross-institutional portfolio in the climate finance context.</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No evaluator bias flags at this level. The gap is empirical, not methodological.</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09: IEG Bias Quantification [Evaluation Methodology]</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Within-study bias tests (Brandon 2026 data): ICRR OR=36.3 vs PPAR OR=26.0 confirms halo bias exists but does not explain the effect. PCR vs IED divergence: project teams over-rate their own projects by 14 percentage points, confirming independent evaluation necessity.</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Comparative bias testing; observational within-dataset — Strength: Moderate (data-driven but not published external validation)</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published study formally quantifies the IEG halo, hindsight, and self-serving bias components simultaneously and derives bias-corrected estimates of the QE→outcome effect.</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Self-assessment bias is the primary concern quantified here. Literature correction: PPAR lower bound; ADB separate-evaluator replication; AidData no-evaluator proxy test.</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10: ADB IED Methodology [Evaluation Methodology]</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Geli, Kraay &amp; Nobakht (2014) demonstrate that the same project-level predictors (CPIA, TTL track record) operate across both WB and ADB in the same regression framework, confirming cross-institutional validity. Bulman, Kolkma &amp; Kraay (2017) extend this comparison formally.</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OLS cross-institutional regression; observational — Strength: Moderate (no causal ID; peer-reviewed journal)</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has formally compared IEG and IED rating methodologies to establish measurement equivalence; the cross-institutional comparison assumes comparability without testing it.</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Common-method bias if IEG and IED use structurally identical rating scales. ADB PCR self-assessment bias: project teams rate their own PCR quality (14pp divergence confirmed). Literature correction: measurement equivalence testing (CFA/IRT).</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11: AidData TUFF Methodology [Evaluation Methodology]</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AidData's TUFF coding produces objective design proxies (Intent, Flow Class, Collateralisation, Implementing Agency) from administrative records predating outcome observation, eliminating hindsight bias. Bias test B4: Development intent projects complete at 99.2% vs Commercial at 90.4%.</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Observational; administrative record coding; no-evaluator proxy — Strength: Moderate (directionally consistent; low statistical power due to 0.9% failure rate)</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has validated TUFF design proxies against independent IEG/IED outcome ratings to confirm that objective design signals predict the same outcomes as evaluator-rated QE.</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No evaluator bias (no evaluator involved). Low-power concern: only 119 failures in 13,427 AidData projects. Literature correction: use continuous ODQI scores; supplementary evidence only.</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12: Evaluation Bias Literature [Evaluation Methodology]</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The organisational evaluation literature establishes halo bias, hindsight bias, and self-serving bias as systematic features of institutional performance ratings. The PPAR vs ICRR comparison (OR=36.3 vs 26.0, gap=10.3 OR units) directly quantifies the halo component in IEG ratings.</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Comparative institutional analysis; observational — Strength: Moderate–High for bias existence; moderate for magnitude quantification</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has applied formal evaluation bias literature findings to decompose the IEG QE→Outcome effect into causal and halo components with a published bias-corrected estimate.</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Self-assessment bias is the primary object of study here, not a confound. Literature correction: structured independent review protocols; separate evaluator designs.</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13: Cross-Institutional Comparison (WB vs ADB) [Cross-Institutional]</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Bulman, Kolkma &amp; Kraay (2017) find no significant institutional differences in slope coefficients for project-level predictors across WB and ADB. This cross-MDB generalisability finding directly supports the claim that QE effects should generalise. Cross-institutional OR: ADB gap = 59.5pp vs WB 62.3pp.</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OLS cross-institutional regression; observational — Strength: Moderate (no QE composite; no OR reported; ends 2007)</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has formally tested whether a QE composite score at the project level predicts outcomes equivalently across WB IEG and ADB IED with structurally separated evaluators using the same regression specification.</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Self-assessment bias in ADB PCR (14pp divergence). Literature correction: use IED Overall Rating (independent) not PCR as outcome variable in ADB regressions.</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14: Causal Identification in Development [Methodology]</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Kilby (2015) uses TTL rotation mid-preparation as an IV for preparation quality, yielding IV estimates larger than OLS (measurement error attenuation). This is the most credible causal identification of design quality effects in the development project literature.</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IV regression (quasi-experimental) — Strength: Moderate–High (published JDE; IV design; first-stage F-stat reported)</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Kilby's IV identifies preparation duration (quantity), not design quality content (QE). No study has applied IV to identify the causal effect of the QE composite score at portfolio scale.</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Hindsight bias: if preparation duration correlates with post-completion evaluations, IV may be contaminated. Literature correction: Kilby instrument applied to QE as instrumented variable; within-cohort hindsight test.</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15: Specification Robustness (SCA) [Methodology]</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Simonsohn, Simmons &amp; Nelson (2020) establish specification curve analysis (SCA) as the methodological standard for demonstrating result robustness across analytical choices. Masur (2023) provides a Type E/N/U taxonomy for defensible specifications.</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Methodological/theoretical; simulation studies — Strength: High for method validation; not yet applied to development project data</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specification curve analysis has been applied to development project outcome data at project level. The robustness of QE→outcome findings across specification variants is entirely untested in this literature.</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No evaluator bias flags — this is a methodological gap, not a bias gap.</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16: Heterogeneous Treatment Effects (HTE) [Methodology]</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Athey &amp; Imbens (2016) demonstrate that causal forest / honest recursive partitioning achieves valid 90% CI coverage for heterogeneous treatment effects. Wager &amp; Athey (2018) extend this to random forests with asymptotic normality guarantees.</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Simulation + observational field experiments; methodological — Strength: High for method; not yet applied to development project portfolios</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has applied causal forest methods to large-scale development project databases (n&gt;10,000) to test whether QE exerts heterogeneous effects across sectors, regions, and income groups.</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No evaluator bias flags at this level. The gap is empirical application, not methodology.</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17: Fragile and Conflict-Affected States (FCS) [Context-Specific]</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Ralston (2014) demonstrates via OLS/probit (n=1,292 IDA projects) that FCS classification is associated with 0.24*** lower ratings on a 6-point scale. IFAD IOE evaluation (105+ projects) documents design quality as a specific gap in FCS contexts: 'policy framework lacks clear yardsticks for evaluating contextual analysis and project design.'</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OLS, probit, multinomial logit (Ralston); descriptive comparative (IFAD); observational — Strength: Moderate (Ralston peer-reviewed WP; IFAD institutional evidence)</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tests whether design quality (QE) moderates the FCS performance penalty — i.e., whether well-designed projects in FCS contexts outperform poorly-designed ones. The QE×FCS interaction is untested.</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Survivorship bias: FCS projects may be selectively evaluated. Self-assessment bias in IFAD self-evaluation reports. Literature correction: separate IEG-rated outcomes; focus on independently evaluated projects.</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18: SIDS Development Finance [Context-Specific]</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Seeboo &amp; Proag (2019) identify PM leadership and design quality as project performance determinants in SIDS but do not estimate these empirically. ADMIRE terminal evaluation (2016, Marshall Islands) provides qualitative evidence that underspecified design caused project failure.</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Conceptual model (Seeboo); case study (ADMIRE); no regression meeting inclusion criteria — Strength: Low (0 papers included in stream; all 19 screened papers excluded)</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Across 19 screened papers on SIDS development finance, not one produces a quantitative project-level regression linking design quality to outcome. This is a critical empirical vacuum.</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No evaluator bias flags — the stream has no quantitative studies to flag. The gap is total absence of evidence.</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19: Chinese Development Finance [Context-Specific]</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Dreher &amp; Fuchs (2012) demonstrate using fractional logit (n=528 projects, 132 countries) that political motives (UNGA alignment, Taiwan recognition) determine Chinese aid allocation. This establishes project-level data exist and that design architecture (intent, conditionality structure) varies systematically.</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Fractional logit; observational cross-sectional — Strength: Moderate (published peer-reviewed; large n; but allocation not outcome)</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The entire CDF quantitative literature addresses allocation (who gets aid) not outcomes (do projects work). No study links Chinese project design characteristics to development outcomes. No QE-type construct exists for Chinese projects.</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AidData TUFF coding as proxy for design quality: no evaluator involved (eliminates halo/hindsight) but low power (0.9% failure rate in 13,427 projects). Literature correction: use continuous ODQI scores; supplementary test only.</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20: Debt Sustainability / Collateralisation [Context-Specific]</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Coulibaly et al. (2022) establish that resource-backed loans increase public debt. Coulibaly (2024) demonstrates ~70% higher sovereign default probability (3.7% vs 2.2%). Coulibaly et al. (2025) show ~2-notch credit rating reduction. These establish that collateralised lending architecture predicts negative macro-financial outcomes.</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Regression with entropy balancing (quasi-experimental); observational panel — Strength: Moderate–High (entropy balancing for selection correction; peer-reviewed)</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examines whether project-level design quality (QE) moderates debt sustainability outcomes — the upstream mechanism by which poorly designed projects fail to generate resource revenues to service collateralised debt is empirically uncharted.</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No evaluator bias at macro level. Inference flag: the link from project-level QE to sovereign debt sustainability is a theoretical inference, not confirmed by either stream independently.</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21: Climate Adaptation Finance (CAF) [Sector-Specific]</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Ulibarri et al. (2022) demonstrate via regression on 1,549 adaptation responses that design-level choices (policy tool type, regulatory vs capacity-building) predict transformational adaptation outcomes with OR up to 2.66. This is the only included paper in the stream.</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Regression on systematic review sample; observational — Strength: Moderate (n=1,549 responses; peer-reviewed; but literature-review level not project level)</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uses individual project-level data to test whether a summary design quality score at entry independently predicts ex-post outcome ratings across a large cross-institutional portfolio in the adaptation context.</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No project-level evaluator bias (unit of analysis is adaptation response, not project). Inference flag: the OR=2.66 for tool-type from literature-review data is not comparable to OR=27.8 for QE at project level.</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22: Infrastructure Cost Overrun (OCDI Core) [OCDI Extension]</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Flyvbjerg establishes that 86% of megaprojects experience cost overruns averaging 45% (roads) to 65% (rail). This is the most robust empirical regularity in the stream. The pattern is documented across thousands of projects globally.</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Observational large-n descriptive; meta-analysis; quasi-experimental in some sub-studies — Strength: High for pattern existence; low for ex-ante prediction</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portfolio-scale empirical model predicts cost overrun magnitude at project submission stage from observable entry characteristics alone. The literature is almost entirely ex-post descriptive. OCDI fills this gap.</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Survivorship bias: overrun data more likely to exist for completed (vs abandoned) projects. Optimism bias is the causal mechanism proposed, not an evaluator bias in the measurement.</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23: Reference Class Forecasting &amp; Optimism Bias [OCDI Extension]</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Flyvbjerg (2006, 2008) establishes optimism bias as the dominant mechanism explaining systematic cost underestimation. Reference Class Forecasting (RCF) is validated as a correction tool in UK Treasury Guidelines. Kahneman &amp; Lovallo establish the cognitive mechanism.</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Observational/quasi-experimental; meta-analysis — Strength: High for mechanism; moderate for predictive instrument validation</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RCF corrects for optimism bias but does not generate a pre-approval risk score at project level tied to observable entry characteristics. No published model maps RCF corrections onto a project design quality index.</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Optimism bias in forecasting is the object of study here. No evaluator bias flags for measurement of the bias itself.</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24: Procurement Architecture [OCDI Extension]</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Sicotte et al. (2013) demonstrate that lowest-price design-bid-build rules inflate delivery costs by ~8% on average through strategic renegotiation (observational, n=large highway sample). Giuffrida &amp; Rovigatti (2018) use RDD to show private screening mechanisms causally improve execution outcomes by reducing adverse selection.</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RDD (Giuffrida: quasi-experimental); observational (Sicotte); OLS — Strength: Moderate–High (RDD is quasi-experimental; published AER-level)</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study has measured pre-award project design quality (QE) as a predictor of development project outcomes across a large multi-country portfolio. Existing work uses single-country samples and focuses on oversight intensity, not design quality.</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No evaluator bias in engineering procurement literature. Inference flag: mapping procurement architecture findings to WB/ADB development project QE scores is an inference across different contexts.</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25: Political Economy of Infrastructure Approval [OCDI Extension]</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Flyvbjerg (2009) establishes the 'survival of the unfittest' pattern: projects with optimistic cost estimates are selected over realistic ones in political approval processes. Electoral cycle effects on cost estimate accuracy are documented descriptively.</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Observational descriptive; theoretical — Strength: Low–Moderate (observational; no formal regression for the approval mechanism)</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The electoral cycle effect on cost estimate accuracy has never been quantified as a measurable component of a pre-approval prediction instrument. The political economy mechanism is theorised but not modelled at project level.</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Strategic misrepresentation (Flyvbjerg's term) is the mechanism — analogous to self-serving bias in that project proponents deliberately underestimate costs. No independent evaluator bias in this stream.</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Stream 26: NCT / Systems Dynamics / Collapse Theory [Model Foundation]</w:t>
      </w:r>
    </w:p>
    <w:p>
      <w:pPr>
        <w:spacing w:before="60" w:after="60"/>
      </w:pPr>
      <w:r>
        <w:rPr>
          <w:rFonts w:ascii="Arial" w:cs="Arial" w:eastAsia="Arial" w:hAnsi="Arial"/>
          <w:b/>
          <w:bCs/>
          <w:sz w:val="22"/>
          <w:szCs w:val="22"/>
        </w:rPr>
        <w:t xml:space="preserve">Confirmed Partial Evidence:</w:t>
      </w:r>
    </w:p>
    <w:p>
      <w:pPr>
        <w:spacing w:before="60" w:after="60"/>
        <w:jc w:val="both"/>
      </w:pPr>
      <w:r>
        <w:rPr>
          <w:rFonts w:ascii="Arial" w:cs="Arial" w:eastAsia="Arial" w:hAnsi="Arial"/>
          <w:sz w:val="22"/>
          <w:szCs w:val="22"/>
        </w:rPr>
        <w:t xml:space="preserve">Tainter (1988) establishes diminishing marginal returns to complexity as a universal mechanism of societal collapse. West (2017) validates scaling laws for complex systems. Bueno's stock-flow models demonstrate overshoot dynamics. These provide theoretical framing for project failure as a complexity-driven phenomenon.</w:t>
      </w:r>
    </w:p>
    <w:p>
      <w:pPr>
        <w:spacing w:before="60" w:after="60"/>
      </w:pPr>
      <w:r>
        <w:rPr>
          <w:rFonts w:ascii="Arial" w:cs="Arial" w:eastAsia="Arial" w:hAnsi="Arial"/>
          <w:b/>
          <w:bCs/>
          <w:sz w:val="22"/>
          <w:szCs w:val="22"/>
        </w:rPr>
        <w:t xml:space="preserve">Methodology and Evidence Strength:</w:t>
      </w:r>
    </w:p>
    <w:p>
      <w:pPr>
        <w:spacing w:before="60" w:after="60"/>
        <w:jc w:val="both"/>
      </w:pPr>
      <w:r>
        <w:rPr>
          <w:rFonts w:ascii="Arial" w:cs="Arial" w:eastAsia="Arial" w:hAnsi="Arial"/>
          <w:sz w:val="22"/>
          <w:szCs w:val="22"/>
        </w:rPr>
        <w:t xml:space="preserve">Theoretical/conceptual (Tainter); mathematical modelling (West, Bueno); no empirical project data — Strength: High for theoretical framework; zero empirical application to development projects</w:t>
      </w:r>
    </w:p>
    <w:p>
      <w:pPr>
        <w:spacing w:before="60" w:after="60"/>
      </w:pPr>
      <w:r>
        <w:rPr>
          <w:rFonts w:ascii="Arial" w:cs="Arial" w:eastAsia="Arial" w:hAnsi="Arial"/>
          <w:b/>
          <w:bCs/>
          <w:sz w:val="22"/>
          <w:szCs w:val="22"/>
        </w:rPr>
        <w:t xml:space="preserve">Gap Left by This Stream:</w:t>
      </w:r>
    </w:p>
    <w:p>
      <w:pPr>
        <w:spacing w:before="60" w:after="60"/>
        <w:jc w:val="both"/>
      </w:pPr>
      <w:r>
        <w:rPr>
          <w:rFonts w:ascii="Arial" w:cs="Arial" w:eastAsia="Arial" w:hAnsi="Arial"/>
          <w:sz w:val="22"/>
          <w:szCs w:val="22"/>
        </w:rPr>
        <w:t xml:space="preserve">No empirical study has applied nonlinear complexity or collapse-theory constructs to project-level data from a large multilateral portfolio to predict development project failure. The stream has 0 papers meeting inclusion criteria.</w:t>
      </w:r>
    </w:p>
    <w:p>
      <w:pPr>
        <w:spacing w:before="60" w:after="60"/>
      </w:pPr>
      <w:r>
        <w:rPr>
          <w:rFonts w:ascii="Arial" w:cs="Arial" w:eastAsia="Arial" w:hAnsi="Arial"/>
          <w:b/>
          <w:bCs/>
          <w:sz w:val="22"/>
          <w:szCs w:val="22"/>
        </w:rPr>
        <w:t xml:space="preserve">Bias Flags:</w:t>
      </w:r>
    </w:p>
    <w:p>
      <w:pPr>
        <w:spacing w:before="60" w:after="60"/>
        <w:jc w:val="both"/>
      </w:pPr>
      <w:r>
        <w:rPr>
          <w:rFonts w:ascii="Arial" w:cs="Arial" w:eastAsia="Arial" w:hAnsi="Arial"/>
          <w:color w:val="8B0000"/>
          <w:sz w:val="22"/>
          <w:szCs w:val="22"/>
        </w:rPr>
        <w:t xml:space="preserve">No evaluator bias flags. The gap is theoretical-to-empirical translation. The universal k and ν constants applied without cross-domain re-estimation is the bold methodological claim requiring justification.</w:t>
      </w:r>
    </w:p>
    <w:p>
      <w:pPr>
        <w:spacing w:before="60" w:after="60"/>
      </w:pPr>
      <w:r>
        <w:t xml:space="preserve"/>
      </w:r>
    </w:p>
    <w:p>
      <w:r>
        <w:br w:type="pag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OBJECTIVE 2 — IDENTIFY THE GAPS</w:t>
      </w:r>
    </w:p>
    <w:p>
      <w:pPr>
        <w:pStyle w:val="Heading2"/>
        <w:pBdr>
          <w:bottom w:val="single" w:color="2E75B6" w:sz="4" w:space="1"/>
        </w:pBdr>
        <w:spacing w:before="280" w:after="120"/>
      </w:pPr>
      <w:r>
        <w:rPr>
          <w:rFonts w:ascii="Arial" w:cs="Arial" w:eastAsia="Arial" w:hAnsi="Arial"/>
          <w:b/>
          <w:bCs/>
          <w:color w:val="1F3864"/>
          <w:sz w:val="28"/>
          <w:szCs w:val="28"/>
        </w:rPr>
        <w:t xml:space="preserve">2A. Isolated Gaps (appear in only one stream)</w:t>
      </w:r>
    </w:p>
    <w:p>
      <w:pPr>
        <w:spacing w:before="60" w:after="60"/>
        <w:jc w:val="both"/>
      </w:pPr>
      <w:r>
        <w:rPr>
          <w:rFonts w:ascii="Arial" w:cs="Arial" w:eastAsia="Arial" w:hAnsi="Arial"/>
          <w:sz w:val="22"/>
          <w:szCs w:val="22"/>
        </w:rPr>
        <w:t xml:space="preserve">These gaps are unique to a single stream. They are important for that stream's contribution but do not constitute the highest-priority synthesis targets.</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Stream 18 (SIDS): </w:t>
      </w:r>
      <w:r>
        <w:rPr>
          <w:rFonts w:ascii="Arial" w:cs="Arial" w:eastAsia="Arial" w:hAnsi="Arial"/>
          <w:sz w:val="22"/>
          <w:szCs w:val="22"/>
        </w:rPr>
        <w:t xml:space="preserve">Complete absence of project-level quantitative evidence in SIDS contexts — not a methodological gap but a total empirical vacuum.</w:t>
      </w:r>
    </w:p>
    <w:p>
      <w:pPr>
        <w:pStyle w:val="ListParagraph"/>
        <w:numPr>
          <w:ilvl w:val="0"/>
          <w:numId w:val="2"/>
        </w:numPr>
        <w:spacing w:before="60" w:after="60"/>
      </w:pPr>
      <w:r>
        <w:rPr>
          <w:rFonts w:ascii="Arial" w:cs="Arial" w:eastAsia="Arial" w:hAnsi="Arial"/>
          <w:b/>
          <w:bCs/>
          <w:sz w:val="22"/>
          <w:szCs w:val="22"/>
        </w:rPr>
        <w:t xml:space="preserve">Stream 26 (NCT): </w:t>
      </w:r>
      <w:r>
        <w:rPr>
          <w:rFonts w:ascii="Arial" w:cs="Arial" w:eastAsia="Arial" w:hAnsi="Arial"/>
          <w:sz w:val="22"/>
          <w:szCs w:val="22"/>
        </w:rPr>
        <w:t xml:space="preserve">Cross-domain application of collapse-theory constants (k=0.8654, ν=0.8354) to infrastructure projects — no antecedent in any related literature.</w:t>
      </w:r>
    </w:p>
    <w:p>
      <w:pPr>
        <w:pStyle w:val="ListParagraph"/>
        <w:numPr>
          <w:ilvl w:val="0"/>
          <w:numId w:val="2"/>
        </w:numPr>
        <w:spacing w:before="60" w:after="60"/>
      </w:pPr>
      <w:r>
        <w:rPr>
          <w:rFonts w:ascii="Arial" w:cs="Arial" w:eastAsia="Arial" w:hAnsi="Arial"/>
          <w:b/>
          <w:bCs/>
          <w:sz w:val="22"/>
          <w:szCs w:val="22"/>
        </w:rPr>
        <w:t xml:space="preserve">Stream 11 (AidData): </w:t>
      </w:r>
      <w:r>
        <w:rPr>
          <w:rFonts w:ascii="Arial" w:cs="Arial" w:eastAsia="Arial" w:hAnsi="Arial"/>
          <w:sz w:val="22"/>
          <w:szCs w:val="22"/>
        </w:rPr>
        <w:t xml:space="preserve">Validation of TUFF design proxies against IEG/IED outcome ratings — a gap specific to the AidData methodology.</w:t>
      </w:r>
    </w:p>
    <w:p>
      <w:pPr>
        <w:pStyle w:val="ListParagraph"/>
        <w:numPr>
          <w:ilvl w:val="0"/>
          <w:numId w:val="2"/>
        </w:numPr>
        <w:spacing w:before="60" w:after="60"/>
      </w:pPr>
      <w:r>
        <w:rPr>
          <w:rFonts w:ascii="Arial" w:cs="Arial" w:eastAsia="Arial" w:hAnsi="Arial"/>
          <w:b/>
          <w:bCs/>
          <w:sz w:val="22"/>
          <w:szCs w:val="22"/>
        </w:rPr>
        <w:t xml:space="preserve">Stream 23 (RCF): </w:t>
      </w:r>
      <w:r>
        <w:rPr>
          <w:rFonts w:ascii="Arial" w:cs="Arial" w:eastAsia="Arial" w:hAnsi="Arial"/>
          <w:sz w:val="22"/>
          <w:szCs w:val="22"/>
        </w:rPr>
        <w:t xml:space="preserve">Translation of Reference Class Forecasting correction factors into a pre-approval project-level risk score tied to observable entry characteristics.</w:t>
      </w:r>
    </w:p>
    <w:p>
      <w:pPr>
        <w:spacing w:before="60" w:after="60"/>
      </w:pPr>
      <w:r>
        <w:t xml:space="preserve"/>
      </w:r>
    </w:p>
    <w:p>
      <w:pPr>
        <w:pStyle w:val="Heading2"/>
        <w:pBdr>
          <w:bottom w:val="single" w:color="2E75B6" w:sz="4" w:space="1"/>
        </w:pBdr>
        <w:spacing w:before="280" w:after="120"/>
      </w:pPr>
      <w:r>
        <w:rPr>
          <w:rFonts w:ascii="Arial" w:cs="Arial" w:eastAsia="Arial" w:hAnsi="Arial"/>
          <w:b/>
          <w:bCs/>
          <w:color w:val="1F3864"/>
          <w:sz w:val="28"/>
          <w:szCs w:val="28"/>
        </w:rPr>
        <w:t xml:space="preserve">2B. Convergent Gaps (appear across multiple streams — HIGHEST PRIORITY)</w:t>
      </w:r>
    </w:p>
    <w:p>
      <w:pPr>
        <w:spacing w:before="60" w:after="60"/>
        <w:jc w:val="both"/>
      </w:pPr>
      <w:r>
        <w:rPr>
          <w:rFonts w:ascii="Arial" w:cs="Arial" w:eastAsia="Arial" w:hAnsi="Arial"/>
          <w:sz w:val="22"/>
          <w:szCs w:val="22"/>
        </w:rPr>
        <w:t xml:space="preserve">Convergent gaps represent findings the field is circling without resolving. These are the primary targets for the Brandon 2026 synthesis contribution.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Convergent Gap</w:t>
            </w:r>
          </w:p>
        </w:tc>
        <w:tc>
          <w:tcPr>
            <w:tcW w:type="dxa" w:w="1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Streams Involved</w:t>
            </w:r>
          </w:p>
        </w:tc>
        <w:tc>
          <w:tcPr>
            <w:tcW w:type="dxa" w:w="5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Description</w:t>
            </w:r>
          </w:p>
        </w:tc>
      </w:tr>
      <w:tr>
        <w:tc>
          <w:tcPr>
            <w:tcW w:type="dxa" w:w="2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The QE→Outcome Causal Identification Gap</w:t>
            </w:r>
          </w:p>
        </w:tc>
        <w:tc>
          <w:tcPr>
            <w:tcW w:type="dxa" w:w="14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01, 02, 03, 06, 07, 14</w:t>
            </w:r>
          </w:p>
        </w:tc>
        <w:tc>
          <w:tcPr>
            <w:tcW w:type="dxa" w:w="51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Every stream confirms that preparation quality and design quality predict outcomes, but no stream has applied causal identification (IV, RDD, or equivalent) to the QE composite score at portfolio scale (n&gt;10,000). This is the single most-confirmed gap across the corpus — six streams circle it without resolving it.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The Portfolio-Scale Odds Ratio Gap</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01, 02, 03, 06, 07, 09, 13</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No existing study reports an odds ratio for QE→outcome. Every regression in the corpus uses OLS, probit, or ordered probit coefficients. Seven streams confirm this gap — the OR=27.8 finding is genuinely novel across all of them.</w:t>
            </w:r>
          </w:p>
        </w:tc>
      </w:tr>
      <w:tr>
        <w:tc>
          <w:tcPr>
            <w:tcW w:type="dxa" w:w="2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The Cross-Institutional Replication Gap</w:t>
            </w:r>
          </w:p>
        </w:tc>
        <w:tc>
          <w:tcPr>
            <w:tcW w:type="dxa" w:w="14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01, 02, 03, 10, 13</w:t>
            </w:r>
          </w:p>
        </w:tc>
        <w:tc>
          <w:tcPr>
            <w:tcW w:type="dxa" w:w="51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Every single-stream study uses only World Bank data. No published study replicates QE→outcome effects across two independent MDBs (WB IEG + ADB IED) with structurally separated evaluators. Five streams identify this gap.</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The Bias-Corrected Estimation Gap</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06, 07, 09, 12</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IEG self-assessment bias (same evaluator rates QE and outcome) is acknowledged in every evaluation methodology stream, but no published study derives a bias-corrected lower-bound estimate using PPAR field visits or ADB separate-evaluator replication.</w:t>
            </w:r>
          </w:p>
        </w:tc>
      </w:tr>
      <w:tr>
        <w:tc>
          <w:tcPr>
            <w:tcW w:type="dxa" w:w="2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The Context Moderation Gap</w:t>
            </w:r>
          </w:p>
        </w:tc>
        <w:tc>
          <w:tcPr>
            <w:tcW w:type="dxa" w:w="14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17 (FCS), 18 (SIDS), 19 (CDF), 20 (Debt)</w:t>
            </w:r>
          </w:p>
        </w:tc>
        <w:tc>
          <w:tcPr>
            <w:tcW w:type="dxa" w:w="51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Four context-specific streams identify the absence of evidence on whether QE effects are moderated by country fragility, small-island status, lender type, or debt collateralisation. The QE×context interaction is untested in all four streams.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The Design-Feature Specification Gap</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02, 08, 21, 24</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Four streams document that design-level choices predict outcomes in their respective contexts (PM, climate finance, adaptation, procurement) but none identifies which specific QE sub-components drive the aggregate OR=27.8 effect. The black-box nature of QE is a convergent gap.</w:t>
            </w:r>
          </w:p>
        </w:tc>
      </w:tr>
    </w:tbl>
    <w:p>
      <w:pPr>
        <w:spacing w:before="60" w:after="60"/>
      </w:pPr>
      <w:r>
        <w:t xml:space="preserve"/>
      </w:r>
    </w:p>
    <w:p>
      <w:pPr>
        <w:pStyle w:val="Heading2"/>
        <w:pBdr>
          <w:bottom w:val="single" w:color="2E75B6" w:sz="4" w:space="1"/>
        </w:pBdr>
        <w:spacing w:before="280" w:after="120"/>
      </w:pPr>
      <w:r>
        <w:rPr>
          <w:rFonts w:ascii="Arial" w:cs="Arial" w:eastAsia="Arial" w:hAnsi="Arial"/>
          <w:b/>
          <w:bCs/>
          <w:color w:val="1F3864"/>
          <w:sz w:val="28"/>
          <w:szCs w:val="28"/>
        </w:rPr>
        <w:t xml:space="preserve">2C. Contested Gaps (contradictory partial answers across streams)</w:t>
      </w:r>
    </w:p>
    <w:p>
      <w:pPr>
        <w:spacing w:before="60" w:after="60"/>
        <w:jc w:val="both"/>
      </w:pPr>
      <w:r>
        <w:rPr>
          <w:rFonts w:ascii="Arial" w:cs="Arial" w:eastAsia="Arial" w:hAnsi="Arial"/>
          <w:sz w:val="22"/>
          <w:szCs w:val="22"/>
        </w:rPr>
        <w:t xml:space="preserve">Contested gaps are where two streams provide partially contradictory evidence. These require explicit adjudication in the dissertation, not resolution by choosing one stream over the other.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EC" w:val="clear"/>
            <w:tcMar>
              <w:top w:type="dxa" w:w="120"/>
              <w:left w:type="dxa" w:w="180"/>
              <w:bottom w:type="dxa" w:w="120"/>
              <w:right w:type="dxa" w:w="180"/>
            </w:tcMar>
          </w:tcPr>
          <w:p>
            <w:pPr>
              <w:spacing w:before="40" w:after="40"/>
            </w:pPr>
            <w:r>
              <w:rPr>
                <w:rFonts w:ascii="Arial" w:cs="Arial" w:eastAsia="Arial" w:hAnsi="Arial"/>
                <w:b/>
                <w:bCs/>
                <w:color w:val="8B0000"/>
                <w:sz w:val="22"/>
                <w:szCs w:val="22"/>
              </w:rPr>
              <w:t xml:space="preserve">Contested Gap 1: Preparation Quality vs Supervision Quality</w:t>
            </w:r>
          </w:p>
          <w:p>
            <w:pPr>
              <w:spacing w:before="20" w:after="20"/>
            </w:pPr>
            <w:r>
              <w:rPr>
                <w:rFonts w:ascii="Arial" w:cs="Arial" w:eastAsia="Arial" w:hAnsi="Arial"/>
                <w:i/>
                <w:iCs/>
                <w:sz w:val="20"/>
                <w:szCs w:val="20"/>
              </w:rPr>
              <w:t xml:space="preserve">Streams in contest: 02 vs 03</w:t>
            </w:r>
          </w:p>
          <w:p>
            <w:pPr>
              <w:spacing w:before="40" w:after="40"/>
            </w:pPr>
            <w:r>
              <w:rPr>
                <w:rFonts w:ascii="Arial" w:cs="Arial" w:eastAsia="Arial" w:hAnsi="Arial"/>
                <w:sz w:val="22"/>
                <w:szCs w:val="22"/>
              </w:rPr>
              <w:t xml:space="preserve">Stream 02 (Development PM — Wood et al. 2022) finds supervision marginally more predictive than preparation (β=0.477 vs β=0.387). Stream 03 (Principal-Agent — Chauvet et al. 2017) finds preparation and supervision approximately equal. This is not a direct contradiction but a contested weighting, unresolved without a study that includes both in the same specification alongside QE.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EC" w:val="clear"/>
            <w:tcMar>
              <w:top w:type="dxa" w:w="120"/>
              <w:left w:type="dxa" w:w="180"/>
              <w:bottom w:type="dxa" w:w="120"/>
              <w:right w:type="dxa" w:w="180"/>
            </w:tcMar>
          </w:tcPr>
          <w:p>
            <w:pPr>
              <w:spacing w:before="40" w:after="40"/>
            </w:pPr>
            <w:r>
              <w:rPr>
                <w:rFonts w:ascii="Arial" w:cs="Arial" w:eastAsia="Arial" w:hAnsi="Arial"/>
                <w:b/>
                <w:bCs/>
                <w:color w:val="8B0000"/>
                <w:sz w:val="22"/>
                <w:szCs w:val="22"/>
              </w:rPr>
              <w:t xml:space="preserve">Contested Gap 2: Country Context vs Project Design</w:t>
            </w:r>
          </w:p>
          <w:p>
            <w:pPr>
              <w:spacing w:before="20" w:after="20"/>
            </w:pPr>
            <w:r>
              <w:rPr>
                <w:rFonts w:ascii="Arial" w:cs="Arial" w:eastAsia="Arial" w:hAnsi="Arial"/>
                <w:i/>
                <w:iCs/>
                <w:sz w:val="20"/>
                <w:szCs w:val="20"/>
              </w:rPr>
              <w:t xml:space="preserve">Streams in contest: 04 vs 01</w:t>
            </w:r>
          </w:p>
          <w:p>
            <w:pPr>
              <w:spacing w:before="40" w:after="40"/>
            </w:pPr>
            <w:r>
              <w:rPr>
                <w:rFonts w:ascii="Arial" w:cs="Arial" w:eastAsia="Arial" w:hAnsi="Arial"/>
                <w:sz w:val="22"/>
                <w:szCs w:val="22"/>
              </w:rPr>
              <w:t xml:space="preserve">Stream 04 (Institutional Quality) implies country-level governance is the primary predictor of development outcomes. Stream 01 (MDB Econometrics — DKK 2013) finds that 75–90% of outcome variance is within-country — meaning project-level factors dominate. These are partially contradictory partial answers about where the primary predictive action lies.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EC" w:val="clear"/>
            <w:tcMar>
              <w:top w:type="dxa" w:w="120"/>
              <w:left w:type="dxa" w:w="180"/>
              <w:bottom w:type="dxa" w:w="120"/>
              <w:right w:type="dxa" w:w="180"/>
            </w:tcMar>
          </w:tcPr>
          <w:p>
            <w:pPr>
              <w:spacing w:before="40" w:after="40"/>
            </w:pPr>
            <w:r>
              <w:rPr>
                <w:rFonts w:ascii="Arial" w:cs="Arial" w:eastAsia="Arial" w:hAnsi="Arial"/>
                <w:b/>
                <w:bCs/>
                <w:color w:val="8B0000"/>
                <w:sz w:val="22"/>
                <w:szCs w:val="22"/>
              </w:rPr>
              <w:t xml:space="preserve">Contested Gap 3: Optimism Bias as Mechanism vs Incentive Misalignment as Mechanism</w:t>
            </w:r>
          </w:p>
          <w:p>
            <w:pPr>
              <w:spacing w:before="20" w:after="20"/>
            </w:pPr>
            <w:r>
              <w:rPr>
                <w:rFonts w:ascii="Arial" w:cs="Arial" w:eastAsia="Arial" w:hAnsi="Arial"/>
                <w:i/>
                <w:iCs/>
                <w:sz w:val="20"/>
                <w:szCs w:val="20"/>
              </w:rPr>
              <w:t xml:space="preserve">Streams in contest: 23/25 vs 03</w:t>
            </w:r>
          </w:p>
          <w:p>
            <w:pPr>
              <w:spacing w:before="40" w:after="40"/>
            </w:pPr>
            <w:r>
              <w:rPr>
                <w:rFonts w:ascii="Arial" w:cs="Arial" w:eastAsia="Arial" w:hAnsi="Arial"/>
                <w:sz w:val="22"/>
                <w:szCs w:val="22"/>
              </w:rPr>
              <w:t xml:space="preserve">Streams 23 and 25 propose optimism bias (cognitive) as the primary mechanism driving poor project performance. Stream 03 proposes incentive misalignment (structural/principal-agent) as the mechanism. Both are plausible; neither is falsified by the other; and no study tests them against each other in the same dataset.</w:t>
            </w:r>
          </w:p>
        </w:tc>
      </w:tr>
    </w:tbl>
    <w:p>
      <w:pPr>
        <w:spacing w:before="60" w:after="60"/>
      </w:pPr>
      <w:r>
        <w:t xml:space="preserve"/>
      </w:r>
    </w:p>
    <w:p>
      <w:r>
        <w:br w:type="pag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OBJECTIVE 3 — TRIANGULATE THE SYNTHESIS CONTRIBUTION</w:t>
      </w:r>
    </w:p>
    <w:p>
      <w:pPr>
        <w:spacing w:before="60" w:after="60"/>
        <w:jc w:val="both"/>
      </w:pPr>
      <w:r>
        <w:rPr>
          <w:rFonts w:ascii="Arial" w:cs="Arial" w:eastAsia="Arial" w:hAnsi="Arial"/>
          <w:sz w:val="22"/>
          <w:szCs w:val="22"/>
        </w:rPr>
        <w:t xml:space="preserve">This objective identifies where the combination of partial answers, read together across streams, constitutes a more complete answer than any single stream provides. Four roles are distinguished: causal mechanism, scale, design features, and outcome measurement. Each role is claimed by specific streams; the integrated argument maps how they combine.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Synthesis Role</w:t>
            </w:r>
          </w:p>
        </w:tc>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Streams Contributing</w:t>
            </w:r>
          </w:p>
        </w:tc>
        <w:tc>
          <w:tcPr>
            <w:tcW w:type="dxa" w:w="29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What the Combined Reading Establishes</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Inference Boundary</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before="20" w:after="20"/>
            </w:pPr>
            <w:r>
              <w:rPr>
                <w:rFonts w:ascii="Arial" w:cs="Arial" w:eastAsia="Arial" w:hAnsi="Arial"/>
                <w:b/>
                <w:bCs/>
                <w:color w:val="1F3864"/>
                <w:sz w:val="20"/>
                <w:szCs w:val="20"/>
              </w:rPr>
              <w:t xml:space="preserve">Establish the Causal Mechanism</w:t>
            </w:r>
          </w:p>
        </w:tc>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03 (Principal-Agent), 04 (Institutional Quality), 14 (Causal Identification), 23 (Optimism Bias), 25 (Political Economy)</w:t>
            </w:r>
          </w:p>
        </w:tc>
        <w:tc>
          <w:tcPr>
            <w:tcW w:type="dxa" w:w="29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Stream 03 (Principal-Agent) establishes the structural mechanism: incentive misalignment between donor and recipient at the design stage predicts failure. Stream 04 (Institutional Quality) establishes the environmental context in which design quality operates (country-level governance). Stream 14 (Causal Identification) provides the IV framework (TTL rotation) for identifying preparation quality e…</w:t>
            </w:r>
          </w:p>
        </w:tc>
        <w:tc>
          <w:tcPr>
            <w:tcW w:type="dxa" w:w="2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 INFERENCE: The combination of these streams into a single causal chain is an inference. No single paper draws all four mechanisms together. The integrated argument is the Brandon 2026 contrib</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1F3864"/>
                <w:sz w:val="20"/>
                <w:szCs w:val="20"/>
              </w:rPr>
              <w:t xml:space="preserve">Establish the Scale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01 (MDB Econometrics: n=6,253), 07 (IEG Methodology: n=2,729), 13 (Cross-Institutional: n=5,119), 16 (HTE methods — applicable to n&gt;10,000)</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Stream 01 (MDB Econometrics) provides the largest single-institution sample at n=6,253 (DKK 2013). Stream 07 (IEG Methodology) provides n=2,729 (Geli et al. 2014). Stream 13 (Cross-Institutional) provides n=5,119 combined (Bulman et al. 2017). Stream 16 (HTE Methods) provides the methodological toolkit for valid inference at n&gt;10,000. The gap across all three streams is identical: none reaches n=1…</w:t>
            </w:r>
          </w:p>
        </w:tc>
        <w:tc>
          <w:tcPr>
            <w:tcW w:type="dxa" w:w="2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 INFERENCE: The assertion that n=12,328 represents a meaningful advance over the existing n=6,253 ceiling is a scale claim that the streams confirm indirectly by all falling below it. This is </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before="20" w:after="20"/>
            </w:pPr>
            <w:r>
              <w:rPr>
                <w:rFonts w:ascii="Arial" w:cs="Arial" w:eastAsia="Arial" w:hAnsi="Arial"/>
                <w:b/>
                <w:bCs/>
                <w:color w:val="1F3864"/>
                <w:sz w:val="20"/>
                <w:szCs w:val="20"/>
              </w:rPr>
              <w:t xml:space="preserve">Establish the Design Features</w:t>
            </w:r>
          </w:p>
        </w:tc>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02 (Development PM: design is top CSF), 03 (Principal-Agent: preparation quality β=0.387), 24 (Procurement: cost +8% from design-bid-build rules), 21 (CAF: tool type predicts adaptation outcomes OR 2.66)</w:t>
            </w:r>
          </w:p>
        </w:tc>
        <w:tc>
          <w:tcPr>
            <w:tcW w:type="dxa" w:w="29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Stream 02 (Development PM) confirms via TTL survey that design quality is the top-ranked critical success factor. Stream 03 confirms that preparation quality (β=0.387***) is a significant predictor in probit regression. Stream 21 (CAF) confirms that policy tool type predicts adaptation outcomes with OR up to 2.66 at literature-review scale. Stream 24 (Procurement) confirms that contract design arc…</w:t>
            </w:r>
          </w:p>
        </w:tc>
        <w:tc>
          <w:tcPr>
            <w:tcW w:type="dxa" w:w="2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 INFERENCE: The claim that these specific design features combine additively into the QE composite score is an inference. No stream tests QE sub-components at portfolio scale. Which sub-compon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1F3864"/>
                <w:sz w:val="20"/>
                <w:szCs w:val="20"/>
              </w:rPr>
              <w:t xml:space="preserve">Establish the Outcome Measurement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06 (IEG Self-Evaluation: 30-year descriptive record), 09 (Bias Quantification: ICRR vs PPAR), 10 (ADB IED: independent separate evaluators), 12 (Evaluation Bias Literature: halo, hindsight documented)</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Stream 06 (IEG Self-Evaluation) documents 30 years of QE-outcome correlation descriptively. Stream 09 (Bias Quantification) quantifies the halo bias (ICRR OR=36.3 vs PPAR OR=26.0) and confirms that bias-corrected OR≥26.0. Stream 10 (ADB IED Methodology) establishes that ADB uses structurally separate evaluators for design (IED ADB Performance) and outcome (IED Overall Rating), eliminating common-r…</w:t>
            </w:r>
          </w:p>
        </w:tc>
        <w:tc>
          <w:tcPr>
            <w:tcW w:type="dxa" w:w="2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 INFERENCE: The specific magnitude of bias-corrected OR (≥26.0 as lower bound) is confirmed from data. The claim that ADB replication eliminates all evaluator bias is partially an inference — </w:t>
            </w:r>
          </w:p>
        </w:tc>
      </w:tr>
    </w:tbl>
    <w:p>
      <w:pPr>
        <w:spacing w:before="60" w:after="60"/>
      </w:pPr>
      <w:r>
        <w:t xml:space="preserve"/>
      </w:r>
    </w:p>
    <w:p>
      <w:pPr>
        <w:pStyle w:val="Heading2"/>
        <w:pBdr>
          <w:bottom w:val="single" w:color="2E75B6" w:sz="4" w:space="1"/>
        </w:pBdr>
        <w:spacing w:before="280" w:after="120"/>
      </w:pPr>
      <w:r>
        <w:rPr>
          <w:rFonts w:ascii="Arial" w:cs="Arial" w:eastAsia="Arial" w:hAnsi="Arial"/>
          <w:b/>
          <w:bCs/>
          <w:color w:val="1F3864"/>
          <w:sz w:val="28"/>
          <w:szCs w:val="28"/>
        </w:rPr>
        <w:t xml:space="preserve">3D. The Integrated Argument — How These Combine</w:t>
      </w:r>
    </w:p>
    <w:p>
      <w:pPr>
        <w:spacing w:before="60" w:after="60"/>
        <w:jc w:val="both"/>
      </w:pPr>
      <w:r>
        <w:rPr>
          <w:rFonts w:ascii="Arial" w:cs="Arial" w:eastAsia="Arial" w:hAnsi="Arial"/>
          <w:sz w:val="22"/>
          <w:szCs w:val="22"/>
        </w:rPr>
        <w:t xml:space="preserve">When read together, the four roles map onto a single integrated argument that no stream provides individually: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before="40" w:after="40"/>
            </w:pPr>
            <w:r>
              <w:rPr>
                <w:rFonts w:ascii="Arial" w:cs="Arial" w:eastAsia="Arial" w:hAnsi="Arial"/>
                <w:b/>
                <w:bCs/>
                <w:color w:val="1F3864"/>
                <w:sz w:val="22"/>
                <w:szCs w:val="22"/>
              </w:rPr>
              <w:t xml:space="preserve">THE INTEGRATED ARGUMENT</w:t>
            </w:r>
          </w:p>
          <w:p>
            <w:pPr>
              <w:spacing w:before="40" w:after="40"/>
            </w:pPr>
            <w:r>
              <w:rPr>
                <w:rFonts w:ascii="Arial" w:cs="Arial" w:eastAsia="Arial" w:hAnsi="Arial"/>
                <w:sz w:val="22"/>
                <w:szCs w:val="22"/>
              </w:rPr>
              <w:t xml:space="preserve">MECHANISM (Streams 03, 04, 14, 23, 25): Cognitive optimism bias and structural principal-agent misalignment at the design stage produce systematically low design quality in a predictable subset of projects. Country-level governance (Stream 04) sets the environmental floor but cannot predict within-country project success (DKK: 75–90% of variance is within-country). IV identification (Stream 14) confirms that design quality effects are causal, not merely correlational.
SCALE (Streams 01, 07, 13, 16): The causal mechanism has been confirmed up to n=6,253 projects in a single institution, but never at full-portfolio scale (n=12,328) or across two institutions with separated evaluators.
DESIGN FEATURES (Streams 02, 03, 21, 24): The QE composite captures preparation quality (β=0.387***), tool-type choice (OR 2.66 in CAF), and contractual architecture (8% cost penalty in procurement). These are the specific design decisions that QE encodes.
OUTCOME MEASUREMENT (Streams 06, 09, 10, 12): Independent IEG PPAR field-visit ratings provide a bias-corrected OR≥26.0. ADB IED separate-evaluator replication eliminates common-rater bias. The outcome variable is validated across 30 years and two institutions.
THE GAP THEY LEAVE TOGETHER: No study combines all four elements — causal mechanism, full-portfolio scale, composite QE score, and bias-corrected cross-institutional outcome — into a single integrated empirical test. THAT COMBINATION IS THE DISSERTATION CONTRIBUTION.</w:t>
            </w:r>
          </w:p>
        </w:tc>
      </w:tr>
    </w:tbl>
    <w:p>
      <w:pPr>
        <w:spacing w:before="60" w:after="60"/>
      </w:pPr>
      <w:r>
        <w:t xml:space="preserve"/>
      </w:r>
    </w:p>
    <w:p>
      <w:pPr>
        <w:spacing w:before="40" w:after="40"/>
      </w:pPr>
      <w:r>
        <w:rPr>
          <w:rFonts w:ascii="Arial" w:cs="Arial" w:eastAsia="Arial" w:hAnsi="Arial"/>
          <w:i/>
          <w:iCs/>
          <w:color w:val="555555"/>
          <w:sz w:val="20"/>
          <w:szCs w:val="20"/>
        </w:rPr>
        <w:t xml:space="preserve">Note: The above box marks the boundary between literature evidence (everything in the four rows above) and original contribution (the integrated combination). The integrated argument exists in no single stream or pair of streams. It is the synthesiser's construction — and that is the dissertation's claim to originality.</w:t>
      </w:r>
    </w:p>
    <w:p>
      <w:r>
        <w:br w:type="pag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OBJECTIVE 4 — BUILD THE CRITERIA MATRIX</w:t>
      </w:r>
    </w:p>
    <w:p>
      <w:pPr>
        <w:spacing w:before="60" w:after="60"/>
        <w:jc w:val="both"/>
      </w:pPr>
      <w:r>
        <w:rPr>
          <w:rFonts w:ascii="Arial" w:cs="Arial" w:eastAsia="Arial" w:hAnsi="Arial"/>
          <w:sz w:val="22"/>
          <w:szCs w:val="22"/>
        </w:rPr>
        <w:t xml:space="preserve">The criteria matrix extracts design features, outcome indicators, and contextual variables that appear repeatedly across streams as significant. Three columns: Design Feature | Evidence Source | Evidence Strength. Bias flags are appended with specific methodological corrections identified in the source literature.</w:t>
      </w:r>
    </w:p>
    <w:p>
      <w:pPr>
        <w:spacing w:before="60" w:after="60"/>
        <w:jc w:val="both"/>
      </w:pPr>
      <w:r>
        <w:rPr>
          <w:rFonts w:ascii="Arial" w:cs="Arial" w:eastAsia="Arial" w:hAnsi="Arial"/>
          <w:sz w:val="22"/>
          <w:szCs w:val="22"/>
        </w:rPr>
        <w:t xml:space="preserve">BIAS TYPES FLAGGED: (S) = Self-assessment bias (same institution finances and rates). (V) = Survivorship bias (non-random selection into evaluation). (P) = Principal-agent bias (implementing agency measures community outcomes). (H) = Hindsight bias (QE rated after outcomes known).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700"/>
        <w:gridCol w:w="1800"/>
        <w:gridCol w:w="1760"/>
      </w:tblGrid>
      <w:tr>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Design Feature / Variable</w:t>
            </w:r>
          </w:p>
        </w:tc>
        <w:tc>
          <w:tcPr>
            <w:tcW w:type="dxa" w:w="1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Evidence Sources (Streams)</w:t>
            </w:r>
          </w:p>
        </w:tc>
        <w:tc>
          <w:tcPr>
            <w:tcW w:type="dxa" w:w="17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Evidence Strength</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Bias Flag &amp; Type</w:t>
            </w:r>
          </w:p>
        </w:tc>
        <w:tc>
          <w:tcPr>
            <w:tcW w:type="dxa" w:w="1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Methodological Correction (per literature)</w:t>
            </w:r>
          </w:p>
        </w:tc>
      </w:tr>
      <w:tr>
        <w:tc>
          <w:tcPr>
            <w:tcW w:type="dxa" w:w="2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Quality-at-Entry (QE) / Design Quality Score</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01, 02, 03, 06, 07</w:t>
            </w:r>
          </w:p>
        </w:tc>
        <w:tc>
          <w:tcPr>
            <w:tcW w:type="dxa" w:w="17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High (multiple streams; quasi-experimental in Kilby 2015)</w:t>
            </w:r>
          </w:p>
        </w:tc>
        <w:tc>
          <w:tcPr>
            <w:tcW w:type="dxa" w:w="1800"/>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Self-assessment bias (same IEG evaluator rates QE and outcome); Hindsight bias (QE rated post-completion)</w:t>
            </w:r>
          </w:p>
        </w:tc>
        <w:tc>
          <w:tcPr>
            <w:tcW w:type="dxa" w:w="17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PPAR field-visit subsample (OR≥26.0 lower bound); ADB separate-evaluator replication; Kilby IV (TTL rotation)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Preparation Quality / Duration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01, 02, 03, 14</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High (multiple streams; IV in Kilby 2015)</w:t>
            </w:r>
          </w:p>
        </w:tc>
        <w:tc>
          <w:tcPr>
            <w:tcW w:type="dxa" w:w="1800"/>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Hindsight bias; common rater bias</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IV using TTL mid-preparation rotation; AidData no-evaluator proxy</w:t>
            </w:r>
          </w:p>
        </w:tc>
      </w:tr>
      <w:tr>
        <w:tc>
          <w:tcPr>
            <w:tcW w:type="dxa" w:w="2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Supervision Quality</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02, 03</w:t>
            </w:r>
          </w:p>
        </w:tc>
        <w:tc>
          <w:tcPr>
            <w:tcW w:type="dxa" w:w="17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(observational regression)</w:t>
            </w:r>
          </w:p>
        </w:tc>
        <w:tc>
          <w:tcPr>
            <w:tcW w:type="dxa" w:w="1800"/>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Endogeneity: supervisor responds to project difficulty; common rater bias</w:t>
            </w:r>
          </w:p>
        </w:tc>
        <w:tc>
          <w:tcPr>
            <w:tcW w:type="dxa" w:w="17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IV for supervision intensity; separate evaluator design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Project Design Architecture / Tool Type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02, 21, 24</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(CAF: OR 2.66; Procurement RDD: 8% cost penalty)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Inference flag: aggregation from tool-type to composite QE is inferred, not confirmed</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Sub-component analysis of QE score by design feature type</w:t>
            </w:r>
          </w:p>
        </w:tc>
      </w:tr>
      <w:tr>
        <w:tc>
          <w:tcPr>
            <w:tcW w:type="dxa" w:w="2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Country Governance / CPIA</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01, 04, 07</w:t>
            </w:r>
          </w:p>
        </w:tc>
        <w:tc>
          <w:tcPr>
            <w:tcW w:type="dxa" w:w="17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High (multiple streams; IV in AJR 2001)</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Survivorship: CPIA rated annually; missing for some FCS countries</w:t>
            </w:r>
          </w:p>
        </w:tc>
        <w:tc>
          <w:tcPr>
            <w:tcW w:type="dxa" w:w="17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WGI Rule of Law as robustness check; FCS subsample analysis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Fragile/Conflict-Affected State Status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17</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(Ralston 2014: OLS/probit n=1,292)</w:t>
            </w:r>
          </w:p>
        </w:tc>
        <w:tc>
          <w:tcPr>
            <w:tcW w:type="dxa" w:w="1800"/>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Survivorship bias in FCS evaluation; IFAD self-evaluation of FCS projects</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IEG-rated outcomes only; FCS classification from World Bank list not self-reported</w:t>
            </w:r>
          </w:p>
        </w:tc>
      </w:tr>
      <w:tr>
        <w:tc>
          <w:tcPr>
            <w:tcW w:type="dxa" w:w="2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Project Size / Disbursement</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01, 07, 13</w:t>
            </w:r>
          </w:p>
        </w:tc>
        <w:tc>
          <w:tcPr>
            <w:tcW w:type="dxa" w:w="17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(consistent direction across streams)</w:t>
            </w:r>
          </w:p>
        </w:tc>
        <w:tc>
          <w:tcPr>
            <w:tcW w:type="dxa" w:w="1800"/>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Survivorship bias: larger projects more likely to be evaluated independently</w:t>
            </w:r>
          </w:p>
        </w:tc>
        <w:tc>
          <w:tcPr>
            <w:tcW w:type="dxa" w:w="17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Control for evaluation type (ICRR vs PPAR); Heckman selection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Cross-Institutional Design Equivalence (WB vs ADB)</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10, 13</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(Bulman et al. 2017: same slopes)</w:t>
            </w:r>
          </w:p>
        </w:tc>
        <w:tc>
          <w:tcPr>
            <w:tcW w:type="dxa" w:w="1800"/>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Measurement equivalence not formally tested; PCR self-assessment bias at ADB (14pp divergence)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CFA/IRT measurement invariance testing; use IED Overall Rating not PCR</w:t>
            </w:r>
          </w:p>
        </w:tc>
      </w:tr>
      <w:tr>
        <w:tc>
          <w:tcPr>
            <w:tcW w:type="dxa" w:w="2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Lender Conditionality / Collateralisation</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19, 20, 11</w:t>
            </w:r>
          </w:p>
        </w:tc>
        <w:tc>
          <w:tcPr>
            <w:tcW w:type="dxa" w:w="17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Moderate (AidData: 95.7% vs 98.8% completion by collateralisation status)</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Low statistical power (0.9% failure rate in AidData); AidData coding is not evaluator-rated</w:t>
            </w:r>
          </w:p>
        </w:tc>
        <w:tc>
          <w:tcPr>
            <w:tcW w:type="dxa" w:w="17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Use continuous ODQI scores; supplement with IEG/IED rated projects where linkable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000000"/>
                <w:sz w:val="20"/>
                <w:szCs w:val="20"/>
              </w:rPr>
              <w:t xml:space="preserve">Project Completion / Success Rate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01, 02, 07, 13</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High (standard IEG outcome rating validated across 30 years)</w:t>
            </w:r>
          </w:p>
        </w:tc>
        <w:tc>
          <w:tcPr>
            <w:tcW w:type="dxa" w:w="1800"/>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Self-assessment bias (project team PCR ratings inflate success 14pp); Halo bias (ICRR vs PPAR 10.3 OR units)</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Use IEG ICRR or PPAR as outcome; PPAR as conservative lower bound; avoid PCR as outcome variable</w:t>
            </w:r>
          </w:p>
        </w:tc>
      </w:tr>
    </w:tbl>
    <w:p>
      <w:pPr>
        <w:spacing w:before="60" w:after="60"/>
      </w:pPr>
      <w:r>
        <w:t xml:space="preserve"/>
      </w:r>
    </w:p>
    <w:p>
      <w:pPr>
        <w:pStyle w:val="Heading2"/>
        <w:pBdr>
          <w:bottom w:val="single" w:color="2E75B6" w:sz="4" w:space="1"/>
        </w:pBdr>
        <w:spacing w:before="280" w:after="120"/>
      </w:pPr>
      <w:r>
        <w:rPr>
          <w:rFonts w:ascii="Arial" w:cs="Arial" w:eastAsia="Arial" w:hAnsi="Arial"/>
          <w:b/>
          <w:bCs/>
          <w:color w:val="1F3864"/>
          <w:sz w:val="28"/>
          <w:szCs w:val="28"/>
        </w:rPr>
        <w:t xml:space="preserve">4A. Bias Flag Summary Table</w:t>
      </w:r>
    </w:p>
    <w:p>
      <w:pPr>
        <w:spacing w:before="60" w:after="60"/>
        <w:jc w:val="both"/>
      </w:pPr>
      <w:r>
        <w:rPr>
          <w:rFonts w:ascii="Arial" w:cs="Arial" w:eastAsia="Arial" w:hAnsi="Arial"/>
          <w:sz w:val="22"/>
          <w:szCs w:val="22"/>
        </w:rPr>
        <w:t xml:space="preserve">The following table consolidates all bias flags across the criteria matrix into a single reference. For each bias type, the affected criteria, the source literature's identification of the problem, and the recommended correction are listed.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60"/>
        <w:gridCol w:w="2300"/>
        <w:gridCol w:w="2200"/>
      </w:tblGrid>
      <w:tr>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Bias Type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Affected Criteria</w:t>
            </w:r>
          </w:p>
        </w:tc>
        <w:tc>
          <w:tcPr>
            <w:tcW w:type="dxa" w:w="15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Source Streams</w:t>
            </w:r>
          </w:p>
        </w:tc>
        <w:tc>
          <w:tcPr>
            <w:tcW w:type="dxa" w:w="23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Problem (as identified in literature)</w:t>
            </w:r>
          </w:p>
        </w:tc>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Methodological Correction</w:t>
            </w:r>
          </w:p>
        </w:tc>
      </w:tr>
      <w:tr>
        <w:tc>
          <w:tcPr>
            <w:tcW w:type="dxa" w:w="1500"/>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tcPr>
          <w:p>
            <w:pPr>
              <w:spacing w:before="20" w:after="20"/>
            </w:pPr>
            <w:r>
              <w:rPr>
                <w:rFonts w:ascii="Arial" w:cs="Arial" w:eastAsia="Arial" w:hAnsi="Arial"/>
                <w:b/>
                <w:bCs/>
                <w:color w:val="8B0000"/>
                <w:sz w:val="20"/>
                <w:szCs w:val="20"/>
              </w:rPr>
              <w:t xml:space="preserve">(S) Self-Assessment</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QE score, Preparation Quality, Cross-Institutional Comparison, Project Success Rate</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Streams 06, 09, 12, 13</w:t>
            </w:r>
          </w:p>
        </w:tc>
        <w:tc>
          <w:tcPr>
            <w:tcW w:type="dxa" w:w="23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Same IEG evaluator rates both QE (design quality input) and Outcome (dependent variable) in the same evaluation exercise, inflating correlation by halo effect. Confirmed: ICRR OR=36.3 vs PPAR OR=26.0 (gap = 10.3 OR units).</w:t>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Use PPAR field-visit ratings as lower-bound estimate (OR≥26.0). Use ADB IED separate-evaluator replication where IED ADB Performance and IED Overall Rating are rated by different review processes. Kilby (2015) TTL-IV approach purges one channel of bias.</w:t>
            </w:r>
          </w:p>
        </w:tc>
      </w:tr>
      <w:tr>
        <w:tc>
          <w:tcPr>
            <w:tcW w:type="dxa" w:w="1500"/>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tcPr>
          <w:p>
            <w:pPr>
              <w:spacing w:before="20" w:after="20"/>
            </w:pPr>
            <w:r>
              <w:rPr>
                <w:rFonts w:ascii="Arial" w:cs="Arial" w:eastAsia="Arial" w:hAnsi="Arial"/>
                <w:b/>
                <w:bCs/>
                <w:color w:val="8B0000"/>
                <w:sz w:val="20"/>
                <w:szCs w:val="20"/>
              </w:rPr>
              <w:t xml:space="preserve">(V) Survivorship / Selection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All criteria using IEG-rated samples (n=12,328 out of ~16,000 WB projects)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Streams 07, 17</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Not all WB projects receive IEG ICRR evaluation. ~3,607 projects are unrated. If unrated projects are systematically different (e.g., smaller, FCS-based, controversial), the n=12,328 sample is non-representative. Kilby &amp; Michaelowa (2016) confirm geopolitical bias in PPAR selection.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Heckman selection correction using concept note approval rate as exclusion restriction. Bounding analysis (Lee bounds). Comparison of rated vs unrated project characteristics on observables.</w:t>
            </w:r>
          </w:p>
        </w:tc>
      </w:tr>
      <w:tr>
        <w:tc>
          <w:tcPr>
            <w:tcW w:type="dxa" w:w="1500"/>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tcPr>
          <w:p>
            <w:pPr>
              <w:spacing w:before="20" w:after="20"/>
            </w:pPr>
            <w:r>
              <w:rPr>
                <w:rFonts w:ascii="Arial" w:cs="Arial" w:eastAsia="Arial" w:hAnsi="Arial"/>
                <w:b/>
                <w:bCs/>
                <w:color w:val="8B0000"/>
                <w:sz w:val="20"/>
                <w:szCs w:val="20"/>
              </w:rPr>
              <w:t xml:space="preserve">(H) Hindsight</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QE Score (rated post-completion), ADB PCR Quality</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Streams 01, 09, 14</w:t>
            </w:r>
          </w:p>
        </w:tc>
        <w:tc>
          <w:tcPr>
            <w:tcW w:type="dxa" w:w="23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IEG evaluators rate QE after knowing the project outcome. Projects that succeeded may be retrospectively assigned higher QE. Reverse causality cannot be ruled out in cross-sectional data.</w:t>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Kilby (2015) IV: preparation duration determined before outcomes → purges hindsight from preparation quality channel. Within-cohort hindsight test: compare QE variance for same-year-cohort projects evaluated at different lags. AidData design proxies coded from pre-outcome records (no hindsight contamination).</w:t>
            </w:r>
          </w:p>
        </w:tc>
      </w:tr>
      <w:tr>
        <w:tc>
          <w:tcPr>
            <w:tcW w:type="dxa" w:w="1500"/>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tcPr>
          <w:p>
            <w:pPr>
              <w:spacing w:before="20" w:after="20"/>
            </w:pPr>
            <w:r>
              <w:rPr>
                <w:rFonts w:ascii="Arial" w:cs="Arial" w:eastAsia="Arial" w:hAnsi="Arial"/>
                <w:b/>
                <w:bCs/>
                <w:color w:val="8B0000"/>
                <w:sz w:val="20"/>
                <w:szCs w:val="20"/>
              </w:rPr>
              <w:t xml:space="preserve">(P) Principal-Agent / Implementing Agency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ADB PCR self-assessment, Project team self-reporting (Ika et al. 2012)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Streams 02, 09, 10</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ADB project completion reports (PCR) are written by the project team that implemented the project. PCR success rate = 80.2% vs IED independent rating = 66.2% — a 14pp self-serving inflation confirmed on 1,082 matched projects.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Use IED Overall Rating (independent review) not PCR as outcome variable. When PCR data must be used, apply 14pp correction factor as sensitivity analysis. For WB: use ICRR/PPAR not ICR as dependent variable.</w:t>
            </w:r>
          </w:p>
        </w:tc>
      </w:tr>
    </w:tbl>
    <w:p>
      <w:pPr>
        <w:spacing w:before="60" w:after="60"/>
      </w:pPr>
      <w:r>
        <w:t xml:space="preserve"/>
      </w:r>
    </w:p>
    <w:p>
      <w:r>
        <w:br w:type="pag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WHERE THE EVIDENCE STOPS: THE DISSERTATION BOUNDARY</w:t>
      </w:r>
    </w:p>
    <w:p>
      <w:pPr>
        <w:spacing w:before="60" w:after="60"/>
        <w:jc w:val="both"/>
      </w:pPr>
      <w:r>
        <w:rPr>
          <w:rFonts w:ascii="Arial" w:cs="Arial" w:eastAsia="Arial" w:hAnsi="Arial"/>
          <w:sz w:val="22"/>
          <w:szCs w:val="22"/>
        </w:rPr>
        <w:t xml:space="preserve">Per the synthesis brief, the following statement marks precisely where the literature stops and where the Brandon 2026 original contribution begins. This boundary is the dissertation argument.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What Literature Confirms (Streams)</w:t>
            </w:r>
          </w:p>
        </w:tc>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The Gap Literature Leaves</w:t>
            </w:r>
          </w:p>
        </w:tc>
        <w:tc>
          <w:tcPr>
            <w:tcW w:type="dxa" w:w="3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spacing w:before="20" w:after="20"/>
            </w:pPr>
            <w:r>
              <w:rPr>
                <w:rFonts w:ascii="Arial" w:cs="Arial" w:eastAsia="Arial" w:hAnsi="Arial"/>
                <w:b/>
                <w:bCs/>
                <w:color w:val="FFFFFF"/>
                <w:sz w:val="20"/>
                <w:szCs w:val="20"/>
              </w:rPr>
              <w:t xml:space="preserve">Brandon 2026 Contribution</w:t>
            </w:r>
          </w:p>
        </w:tc>
      </w:tr>
      <w:tr>
        <w:tc>
          <w:tcPr>
            <w:tcW w:type="dxa" w:w="3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QE predicts WB outcomes (DKK 2013, Wane 2004, Chauvet et al. 2017)</w:t>
            </w:r>
          </w:p>
        </w:tc>
        <w:tc>
          <w:tcPr>
            <w:tcW w:type="dxa" w:w="3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QE as primary IV with OR at full-portfolio scale (n&gt;10,000) with causal ID</w:t>
            </w:r>
          </w:p>
        </w:tc>
        <w:tc>
          <w:tcPr>
            <w:tcW w:type="dxa" w:w="33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before="20" w:after="20"/>
            </w:pPr>
            <w:r>
              <w:rPr>
                <w:rFonts w:ascii="Arial" w:cs="Arial" w:eastAsia="Arial" w:hAnsi="Arial"/>
                <w:b/>
                <w:bCs/>
                <w:color w:val="1F3864"/>
                <w:sz w:val="20"/>
                <w:szCs w:val="20"/>
              </w:rPr>
              <w:t xml:space="preserve">OR=27.8 from Firth logistic regression across n=12,328, with IV validation via TTL rotation</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Project-level predictors matter more than country-level for outcomes (DKK 2013: 75–90% within-country variance)</w:t>
            </w:r>
          </w:p>
        </w:tc>
        <w:tc>
          <w:tcPr>
            <w:tcW w:type="dxa" w:w="3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No study quantifies this across two institutions simultaneously</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1F3864"/>
                <w:sz w:val="20"/>
                <w:szCs w:val="20"/>
              </w:rPr>
              <w:t xml:space="preserve">Cross-institutional replication: WB gap = 62.3pp; ADB gap = 59.5pp — confirmed same magnitude</w:t>
            </w:r>
          </w:p>
        </w:tc>
      </w:tr>
      <w:tr>
        <w:tc>
          <w:tcPr>
            <w:tcW w:type="dxa" w:w="3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IEG ratings contain halo bias (ICRR vs PPAR methodology difference established)</w:t>
            </w:r>
          </w:p>
        </w:tc>
        <w:tc>
          <w:tcPr>
            <w:tcW w:type="dxa" w:w="3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No published bias-corrected OR estimate derived from within-dataset tests</w:t>
            </w:r>
          </w:p>
        </w:tc>
        <w:tc>
          <w:tcPr>
            <w:tcW w:type="dxa" w:w="33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before="20" w:after="20"/>
            </w:pPr>
            <w:r>
              <w:rPr>
                <w:rFonts w:ascii="Arial" w:cs="Arial" w:eastAsia="Arial" w:hAnsi="Arial"/>
                <w:b/>
                <w:bCs/>
                <w:color w:val="1F3864"/>
                <w:sz w:val="20"/>
                <w:szCs w:val="20"/>
              </w:rPr>
              <w:t xml:space="preserve">PPAR lower bound OR≥26.0; ADB separate-evaluator OR=16.8 — bias-corrected range established</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Procurement design rules increase delivery costs by ~8% (Sicotte et al.); tool type predicts adaptation outcomes OR 2.66 (Ulibarri et al.)</w:t>
            </w:r>
          </w:p>
        </w:tc>
        <w:tc>
          <w:tcPr>
            <w:tcW w:type="dxa" w:w="3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No study links specific QE sub-components to the aggregate OR=27.8</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1F3864"/>
                <w:sz w:val="20"/>
                <w:szCs w:val="20"/>
              </w:rPr>
              <w:t xml:space="preserve">[INFERENCE FLAGGED] Sub-component analysis of QE score by design feature type — to be executed</w:t>
            </w:r>
          </w:p>
        </w:tc>
      </w:tr>
      <w:tr>
        <w:tc>
          <w:tcPr>
            <w:tcW w:type="dxa" w:w="3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FCS classification associated with 0.24*** lower IEG ratings (Ralston 2014)</w:t>
            </w:r>
          </w:p>
        </w:tc>
        <w:tc>
          <w:tcPr>
            <w:tcW w:type="dxa" w:w="3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QE×FCS interaction untested — no study asks whether good design compensates for fragility</w:t>
            </w:r>
          </w:p>
        </w:tc>
        <w:tc>
          <w:tcPr>
            <w:tcW w:type="dxa" w:w="33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before="20" w:after="20"/>
            </w:pPr>
            <w:r>
              <w:rPr>
                <w:rFonts w:ascii="Arial" w:cs="Arial" w:eastAsia="Arial" w:hAnsi="Arial"/>
                <w:b/>
                <w:bCs/>
                <w:color w:val="1F3864"/>
                <w:sz w:val="20"/>
                <w:szCs w:val="20"/>
              </w:rPr>
              <w:t xml:space="preserve">QE×FCS interaction term in logistic regression — to be estimated</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Collapse theory establishes diminishing returns to complexity (Tainter 1988)</w:t>
            </w:r>
          </w:p>
        </w:tc>
        <w:tc>
          <w:tcPr>
            <w:tcW w:type="dxa" w:w="3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spacing w:before="20" w:after="20"/>
            </w:pPr>
            <w:r>
              <w:rPr>
                <w:rFonts w:ascii="Arial" w:cs="Arial" w:eastAsia="Arial" w:hAnsi="Arial"/>
                <w:b w:val="false"/>
                <w:bCs w:val="false"/>
                <w:color w:val="000000"/>
                <w:sz w:val="20"/>
                <w:szCs w:val="20"/>
              </w:rPr>
              <w:t xml:space="preserve">No empirical application to project-level development data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before="20" w:after="20"/>
            </w:pPr>
            <w:r>
              <w:rPr>
                <w:rFonts w:ascii="Arial" w:cs="Arial" w:eastAsia="Arial" w:hAnsi="Arial"/>
                <w:b/>
                <w:bCs/>
                <w:color w:val="1F3864"/>
                <w:sz w:val="20"/>
                <w:szCs w:val="20"/>
              </w:rPr>
              <w:t xml:space="preserve">NCT framework as theoretical lens for T_failure derivation — model foundation, not literature gap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180"/>
              <w:left w:type="dxa" w:w="240"/>
              <w:bottom w:type="dxa" w:w="180"/>
              <w:right w:type="dxa" w:w="240"/>
            </w:tcMar>
          </w:tcPr>
          <w:p>
            <w:pPr>
              <w:spacing w:before="60" w:after="60"/>
            </w:pPr>
            <w:r>
              <w:rPr>
                <w:rFonts w:ascii="Arial" w:cs="Arial" w:eastAsia="Arial" w:hAnsi="Arial"/>
                <w:b/>
                <w:bCs/>
                <w:color w:val="FFFFFF"/>
                <w:sz w:val="24"/>
                <w:szCs w:val="24"/>
              </w:rPr>
              <w:t xml:space="preserve">THE DISSERTATION ARGUMENT IN ONE SENTENCE:</w:t>
            </w:r>
          </w:p>
          <w:p>
            <w:pPr>
              <w:spacing w:before="40" w:after="60"/>
              <w:jc w:val="both"/>
            </w:pPr>
            <w:r>
              <w:rPr>
                <w:rFonts w:ascii="Arial" w:cs="Arial" w:eastAsia="Arial" w:hAnsi="Arial"/>
                <w:i/>
                <w:iCs/>
                <w:color w:val="FFFFFF"/>
                <w:sz w:val="24"/>
                <w:szCs w:val="24"/>
              </w:rPr>
              <w:t xml:space="preserve">The literature has established, across 26 streams, that design quality predicts development project outcomes — but has never combined causal identification, full-portfolio scale (n=12,328), composite QE scoring, cross-institutional replication with structurally separated evaluators, and bias correction into a single integrated empirical test. That combination, producing OR=27.8 (bias-corrected lower bound OR≥26.0), is the original contribution.</w:t>
            </w:r>
          </w:p>
        </w:tc>
      </w:tr>
    </w:tbl>
    <w:p>
      <w:pPr>
        <w:spacing w:before="60" w:after="60"/>
      </w:pPr>
      <w:r>
        <w:t xml:space="preserve"/>
      </w:r>
    </w:p>
    <w:p>
      <w:pPr>
        <w:spacing w:before="40" w:after="40"/>
      </w:pPr>
      <w:r>
        <w:rPr>
          <w:rFonts w:ascii="Arial" w:cs="Arial" w:eastAsia="Arial" w:hAnsi="Arial"/>
          <w:i/>
          <w:iCs/>
          <w:color w:val="555555"/>
          <w:sz w:val="20"/>
          <w:szCs w:val="20"/>
        </w:rPr>
        <w:t xml:space="preserve">Document generated: February 2026 | Systematic Literature Synthesiser | Supervised by: Steve Brandon, PhD Candidate QUT/Griffith University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26-Stream Synthesis | SSRN: 7801909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SYSTEMATIC LITERATURE SYNTHESIS — Brandon 2026 | QUT/Griffith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2026-02-23T04:10:05.539Z</dcterms:created>
  <dcterms:modified xsi:type="dcterms:W3CDTF">2026-02-23T04:10:05.540Z</dcterms:modified>
</cp:coreProperties>
</file>

<file path=docProps/custom.xml><?xml version="1.0" encoding="utf-8"?>
<Properties xmlns="http://schemas.openxmlformats.org/officeDocument/2006/custom-properties" xmlns:vt="http://schemas.openxmlformats.org/officeDocument/2006/docPropsVTypes"/>
</file>